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苏州市区国有建设用地使用权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网上挂牌出让公告</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苏地网挂</w:t>
      </w:r>
      <w:r>
        <w:rPr>
          <w:rFonts w:ascii="仿宋_GB2312" w:hAnsi="微软雅黑" w:eastAsia="仿宋_GB2312" w:cs="仿宋_GB2312"/>
          <w:b w:val="0"/>
          <w:color w:val="000000"/>
          <w:kern w:val="0"/>
          <w:sz w:val="32"/>
          <w:szCs w:val="32"/>
          <w:u w:val="none"/>
          <w:bdr w:val="none" w:color="auto" w:sz="0" w:space="0"/>
          <w:lang w:val="en-US" w:eastAsia="zh-CN" w:bidi="ar"/>
        </w:rPr>
        <w:t>[2018]5号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sz w:val="21"/>
          <w:szCs w:val="21"/>
          <w:u w:val="none"/>
          <w:bdr w:val="none" w:color="auto" w:sz="0" w:space="0"/>
        </w:rPr>
        <w:t>根据《中华人民共和国土地管理法》、《中华人民共和国城市房地产管理法》、《招标拍卖挂牌出让国有建设用地使用权规定》（国土资源部令第</w:t>
      </w:r>
      <w:r>
        <w:rPr>
          <w:rFonts w:hint="default" w:ascii="仿宋_GB2312" w:hAnsi="微软雅黑" w:eastAsia="仿宋_GB2312" w:cs="仿宋_GB2312"/>
          <w:b w:val="0"/>
          <w:color w:val="000000"/>
          <w:sz w:val="32"/>
          <w:szCs w:val="32"/>
          <w:u w:val="none"/>
          <w:bdr w:val="none" w:color="auto" w:sz="0" w:space="0"/>
        </w:rPr>
        <w:t>39号）、《江苏省国有建设用地使用权网上交易规则》、《关于进一步加强苏州市区房地产市场管理的实施意见》（苏府〔2016〕119号）、《关于进一步加强全市房地产市场调控的意见》（苏府〔2016〕150号），经苏州市人民政府批准，由苏州市国土资源局对10宗苏州市区地块组织进行公开网上挂牌出让。现将有关事宜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360" w:right="0" w:hanging="72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一、 出让地块基本概况</w:t>
      </w:r>
    </w:p>
    <w:tbl>
      <w:tblPr>
        <w:tblW w:w="8343" w:type="dxa"/>
        <w:tblInd w:w="0" w:type="dxa"/>
        <w:shd w:val="clear"/>
        <w:tblLayout w:type="fixed"/>
        <w:tblCellMar>
          <w:top w:w="15" w:type="dxa"/>
          <w:left w:w="15" w:type="dxa"/>
          <w:bottom w:w="15" w:type="dxa"/>
          <w:right w:w="15" w:type="dxa"/>
        </w:tblCellMar>
      </w:tblPr>
      <w:tblGrid>
        <w:gridCol w:w="173"/>
        <w:gridCol w:w="316"/>
        <w:gridCol w:w="1385"/>
        <w:gridCol w:w="601"/>
        <w:gridCol w:w="316"/>
        <w:gridCol w:w="316"/>
        <w:gridCol w:w="1100"/>
        <w:gridCol w:w="672"/>
        <w:gridCol w:w="530"/>
        <w:gridCol w:w="1385"/>
        <w:gridCol w:w="387"/>
        <w:gridCol w:w="530"/>
        <w:gridCol w:w="316"/>
        <w:gridCol w:w="316"/>
      </w:tblGrid>
      <w:tr>
        <w:tblPrEx>
          <w:shd w:val="clear"/>
          <w:tblLayout w:type="fixed"/>
          <w:tblCellMar>
            <w:top w:w="15" w:type="dxa"/>
            <w:left w:w="15" w:type="dxa"/>
            <w:bottom w:w="15" w:type="dxa"/>
            <w:right w:w="15" w:type="dxa"/>
          </w:tblCellMar>
        </w:tblPrEx>
        <w:tc>
          <w:tcPr>
            <w:tcW w:w="17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ascii="黑体" w:hAnsi="宋体" w:eastAsia="黑体" w:cs="黑体"/>
                <w:b w:val="0"/>
                <w:color w:val="000000"/>
                <w:kern w:val="0"/>
                <w:sz w:val="20"/>
                <w:szCs w:val="20"/>
                <w:u w:val="none"/>
                <w:bdr w:val="none" w:color="auto" w:sz="0" w:space="0"/>
                <w:lang w:val="en-US" w:eastAsia="zh-CN" w:bidi="ar"/>
              </w:rPr>
              <w:t>序号</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地块位置</w:t>
            </w:r>
          </w:p>
        </w:tc>
        <w:tc>
          <w:tcPr>
            <w:tcW w:w="13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地块编号         </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面积</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用 途</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出让年限</w:t>
            </w:r>
          </w:p>
        </w:tc>
        <w:tc>
          <w:tcPr>
            <w:tcW w:w="2302" w:type="dxa"/>
            <w:gridSpan w:val="3"/>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规划技术指标</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起报        总价</w:t>
            </w:r>
          </w:p>
        </w:tc>
        <w:tc>
          <w:tcPr>
            <w:tcW w:w="917"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保证金</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加价幅度</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项目分割销售的比例约定</w:t>
            </w:r>
          </w:p>
        </w:tc>
      </w:tr>
      <w:tr>
        <w:tblPrEx>
          <w:tblLayout w:type="fixed"/>
          <w:tblCellMar>
            <w:top w:w="15" w:type="dxa"/>
            <w:left w:w="15" w:type="dxa"/>
            <w:bottom w:w="15" w:type="dxa"/>
            <w:right w:w="15" w:type="dxa"/>
          </w:tblCellMar>
        </w:tblPrEx>
        <w:tc>
          <w:tcPr>
            <w:tcW w:w="173" w:type="dxa"/>
            <w:vMerge w:val="continue"/>
            <w:shd w:val="clear" w:color="auto" w:fill="FFFFFF"/>
            <w:vAlign w:val="center"/>
          </w:tcPr>
          <w:p>
            <w:pPr>
              <w:rPr>
                <w:rFonts w:hint="eastAsia" w:ascii="宋体" w:hAnsi="宋体" w:eastAsia="宋体" w:cs="宋体"/>
                <w:color w:val="000000"/>
                <w:sz w:val="18"/>
                <w:szCs w:val="18"/>
              </w:rPr>
            </w:pPr>
          </w:p>
        </w:tc>
        <w:tc>
          <w:tcPr>
            <w:tcW w:w="316" w:type="dxa"/>
            <w:vMerge w:val="continue"/>
            <w:shd w:val="clear" w:color="auto" w:fill="FFFFFF"/>
            <w:vAlign w:val="center"/>
          </w:tcPr>
          <w:p>
            <w:pPr>
              <w:rPr>
                <w:rFonts w:hint="eastAsia" w:ascii="宋体" w:hAnsi="宋体" w:eastAsia="宋体" w:cs="宋体"/>
                <w:color w:val="000000"/>
                <w:sz w:val="18"/>
                <w:szCs w:val="18"/>
              </w:rPr>
            </w:pPr>
          </w:p>
        </w:tc>
        <w:tc>
          <w:tcPr>
            <w:tcW w:w="1385" w:type="dxa"/>
            <w:vMerge w:val="continue"/>
            <w:shd w:val="clear" w:color="auto" w:fill="FFFFFF"/>
            <w:vAlign w:val="center"/>
          </w:tcPr>
          <w:p>
            <w:pPr>
              <w:rPr>
                <w:rFonts w:hint="eastAsia" w:ascii="宋体" w:hAnsi="宋体" w:eastAsia="宋体" w:cs="宋体"/>
                <w:color w:val="000000"/>
                <w:sz w:val="18"/>
                <w:szCs w:val="18"/>
              </w:rPr>
            </w:pP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w:t>
            </w:r>
          </w:p>
        </w:tc>
        <w:tc>
          <w:tcPr>
            <w:tcW w:w="316" w:type="dxa"/>
            <w:vMerge w:val="continue"/>
            <w:shd w:val="clear" w:color="auto" w:fill="FFFFFF"/>
            <w:vAlign w:val="center"/>
          </w:tcPr>
          <w:p>
            <w:pPr>
              <w:rPr>
                <w:rFonts w:hint="eastAsia" w:ascii="宋体" w:hAnsi="宋体" w:eastAsia="宋体" w:cs="宋体"/>
                <w:color w:val="000000"/>
                <w:sz w:val="18"/>
                <w:szCs w:val="18"/>
              </w:rPr>
            </w:pPr>
          </w:p>
        </w:tc>
        <w:tc>
          <w:tcPr>
            <w:tcW w:w="316" w:type="dxa"/>
            <w:vMerge w:val="continue"/>
            <w:shd w:val="clear" w:color="auto" w:fill="FFFFFF"/>
            <w:vAlign w:val="center"/>
          </w:tcPr>
          <w:p>
            <w:pPr>
              <w:rPr>
                <w:rFonts w:hint="eastAsia" w:ascii="宋体" w:hAnsi="宋体" w:eastAsia="宋体" w:cs="宋体"/>
                <w:color w:val="000000"/>
                <w:sz w:val="18"/>
                <w:szCs w:val="18"/>
              </w:rPr>
            </w:pPr>
          </w:p>
        </w:tc>
        <w:tc>
          <w:tcPr>
            <w:tcW w:w="11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容积率</w:t>
            </w:r>
          </w:p>
        </w:tc>
        <w:tc>
          <w:tcPr>
            <w:tcW w:w="67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建筑   密度</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绿地率</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万元</w:t>
            </w:r>
          </w:p>
        </w:tc>
        <w:tc>
          <w:tcPr>
            <w:tcW w:w="38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人民币（万元）</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美元   （万元）</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0"/>
                <w:szCs w:val="20"/>
                <w:u w:val="none"/>
                <w:bdr w:val="none" w:color="auto" w:sz="0" w:space="0"/>
                <w:lang w:val="en-US" w:eastAsia="zh-CN" w:bidi="ar"/>
              </w:rPr>
              <w:t>人民币（万元）</w:t>
            </w:r>
          </w:p>
        </w:tc>
        <w:tc>
          <w:tcPr>
            <w:tcW w:w="316" w:type="dxa"/>
            <w:vMerge w:val="continue"/>
            <w:shd w:val="clear" w:color="auto" w:fill="FFFFFF"/>
            <w:vAlign w:val="center"/>
          </w:tcPr>
          <w:p>
            <w:pPr>
              <w:rPr>
                <w:rFonts w:hint="eastAsia" w:ascii="宋体" w:hAnsi="宋体" w:eastAsia="宋体" w:cs="宋体"/>
                <w:color w:val="000000"/>
                <w:sz w:val="18"/>
                <w:szCs w:val="18"/>
              </w:rPr>
            </w:pPr>
          </w:p>
        </w:tc>
      </w:tr>
      <w:tr>
        <w:tblPrEx>
          <w:tblLayout w:type="fixed"/>
          <w:tblCellMar>
            <w:top w:w="15" w:type="dxa"/>
            <w:left w:w="15" w:type="dxa"/>
            <w:bottom w:w="15" w:type="dxa"/>
            <w:right w:w="15" w:type="dxa"/>
          </w:tblCellMar>
        </w:tblPrEx>
        <w:tc>
          <w:tcPr>
            <w:tcW w:w="17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吴中区太湖度假区丽波路北侧、天境路东侧</w:t>
            </w:r>
          </w:p>
        </w:tc>
        <w:tc>
          <w:tcPr>
            <w:tcW w:w="13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苏地2018-WG-30号</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48259.1</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零售商业用地、城镇住宅用地</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40、70</w:t>
            </w:r>
          </w:p>
        </w:tc>
        <w:tc>
          <w:tcPr>
            <w:tcW w:w="11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＞1.0且≤1.5</w:t>
            </w:r>
          </w:p>
        </w:tc>
        <w:tc>
          <w:tcPr>
            <w:tcW w:w="67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≤30%</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≥35%</w:t>
            </w:r>
          </w:p>
        </w:tc>
        <w:tc>
          <w:tcPr>
            <w:tcW w:w="13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99189</w:t>
            </w:r>
          </w:p>
        </w:tc>
        <w:tc>
          <w:tcPr>
            <w:tcW w:w="387"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29760</w:t>
            </w:r>
          </w:p>
        </w:tc>
        <w:tc>
          <w:tcPr>
            <w:tcW w:w="53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4500</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500</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可以分割销售</w:t>
            </w:r>
          </w:p>
        </w:tc>
      </w:tr>
      <w:tr>
        <w:tblPrEx>
          <w:tblLayout w:type="fixed"/>
          <w:tblCellMar>
            <w:top w:w="15" w:type="dxa"/>
            <w:left w:w="15" w:type="dxa"/>
            <w:bottom w:w="15" w:type="dxa"/>
            <w:right w:w="15" w:type="dxa"/>
          </w:tblCellMar>
        </w:tblPrEx>
        <w:tc>
          <w:tcPr>
            <w:tcW w:w="173" w:type="dxa"/>
            <w:vMerge w:val="continue"/>
            <w:shd w:val="clear" w:color="auto" w:fill="FFFFFF"/>
            <w:vAlign w:val="center"/>
          </w:tcPr>
          <w:p>
            <w:pPr>
              <w:rPr>
                <w:rFonts w:hint="eastAsia" w:ascii="宋体" w:hAnsi="宋体" w:eastAsia="宋体" w:cs="宋体"/>
                <w:color w:val="000000"/>
                <w:sz w:val="18"/>
                <w:szCs w:val="18"/>
              </w:rPr>
            </w:pPr>
          </w:p>
        </w:tc>
        <w:tc>
          <w:tcPr>
            <w:tcW w:w="316" w:type="dxa"/>
            <w:vMerge w:val="continue"/>
            <w:shd w:val="clear" w:color="auto" w:fill="FFFFFF"/>
            <w:vAlign w:val="center"/>
          </w:tcPr>
          <w:p>
            <w:pPr>
              <w:rPr>
                <w:rFonts w:hint="eastAsia" w:ascii="宋体" w:hAnsi="宋体" w:eastAsia="宋体" w:cs="宋体"/>
                <w:color w:val="000000"/>
                <w:sz w:val="18"/>
                <w:szCs w:val="18"/>
              </w:rPr>
            </w:pPr>
          </w:p>
        </w:tc>
        <w:tc>
          <w:tcPr>
            <w:tcW w:w="1385" w:type="dxa"/>
            <w:vMerge w:val="continue"/>
            <w:shd w:val="clear" w:color="auto" w:fill="FFFFFF"/>
            <w:vAlign w:val="center"/>
          </w:tcPr>
          <w:p>
            <w:pPr>
              <w:rPr>
                <w:rFonts w:hint="eastAsia" w:ascii="宋体" w:hAnsi="宋体" w:eastAsia="宋体" w:cs="宋体"/>
                <w:color w:val="000000"/>
                <w:sz w:val="18"/>
                <w:szCs w:val="18"/>
              </w:rPr>
            </w:pP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37206.5</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城镇住宅用地</w:t>
            </w:r>
          </w:p>
        </w:tc>
        <w:tc>
          <w:tcPr>
            <w:tcW w:w="316" w:type="dxa"/>
            <w:vMerge w:val="continue"/>
            <w:shd w:val="clear" w:color="auto" w:fill="FFFFFF"/>
            <w:vAlign w:val="center"/>
          </w:tcPr>
          <w:p>
            <w:pPr>
              <w:rPr>
                <w:rFonts w:hint="eastAsia" w:ascii="宋体" w:hAnsi="宋体" w:eastAsia="宋体" w:cs="宋体"/>
                <w:color w:val="000000"/>
                <w:sz w:val="18"/>
                <w:szCs w:val="18"/>
              </w:rPr>
            </w:pPr>
          </w:p>
        </w:tc>
        <w:tc>
          <w:tcPr>
            <w:tcW w:w="11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＞1.0且≤1.5</w:t>
            </w:r>
          </w:p>
        </w:tc>
        <w:tc>
          <w:tcPr>
            <w:tcW w:w="67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≤28%</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≥37%</w:t>
            </w:r>
          </w:p>
        </w:tc>
        <w:tc>
          <w:tcPr>
            <w:tcW w:w="1385" w:type="dxa"/>
            <w:vMerge w:val="continue"/>
            <w:shd w:val="clear" w:color="auto" w:fill="FFFFFF"/>
            <w:vAlign w:val="center"/>
          </w:tcPr>
          <w:p>
            <w:pPr>
              <w:rPr>
                <w:rFonts w:hint="eastAsia" w:ascii="宋体" w:hAnsi="宋体" w:eastAsia="宋体" w:cs="宋体"/>
                <w:color w:val="000000"/>
                <w:sz w:val="18"/>
                <w:szCs w:val="18"/>
              </w:rPr>
            </w:pPr>
          </w:p>
        </w:tc>
        <w:tc>
          <w:tcPr>
            <w:tcW w:w="387" w:type="dxa"/>
            <w:vMerge w:val="continue"/>
            <w:shd w:val="clear" w:color="auto" w:fill="FFFFFF"/>
            <w:vAlign w:val="center"/>
          </w:tcPr>
          <w:p>
            <w:pPr>
              <w:rPr>
                <w:rFonts w:hint="eastAsia" w:ascii="宋体" w:hAnsi="宋体" w:eastAsia="宋体" w:cs="宋体"/>
                <w:color w:val="000000"/>
                <w:sz w:val="18"/>
                <w:szCs w:val="18"/>
              </w:rPr>
            </w:pPr>
          </w:p>
        </w:tc>
        <w:tc>
          <w:tcPr>
            <w:tcW w:w="530" w:type="dxa"/>
            <w:vMerge w:val="continue"/>
            <w:shd w:val="clear" w:color="auto" w:fill="FFFFFF"/>
            <w:vAlign w:val="center"/>
          </w:tcPr>
          <w:p>
            <w:pPr>
              <w:rPr>
                <w:rFonts w:hint="eastAsia" w:ascii="宋体" w:hAnsi="宋体" w:eastAsia="宋体" w:cs="宋体"/>
                <w:color w:val="000000"/>
                <w:sz w:val="18"/>
                <w:szCs w:val="18"/>
              </w:rPr>
            </w:pPr>
          </w:p>
        </w:tc>
        <w:tc>
          <w:tcPr>
            <w:tcW w:w="316" w:type="dxa"/>
            <w:vMerge w:val="continue"/>
            <w:shd w:val="clear" w:color="auto" w:fill="FFFFFF"/>
            <w:vAlign w:val="center"/>
          </w:tcPr>
          <w:p>
            <w:pPr>
              <w:rPr>
                <w:rFonts w:hint="eastAsia" w:ascii="宋体" w:hAnsi="宋体" w:eastAsia="宋体" w:cs="宋体"/>
                <w:color w:val="000000"/>
                <w:sz w:val="18"/>
                <w:szCs w:val="18"/>
              </w:rPr>
            </w:pPr>
          </w:p>
        </w:tc>
        <w:tc>
          <w:tcPr>
            <w:tcW w:w="316" w:type="dxa"/>
            <w:vMerge w:val="continue"/>
            <w:shd w:val="clear" w:color="auto" w:fill="FFFFFF"/>
            <w:vAlign w:val="center"/>
          </w:tcPr>
          <w:p>
            <w:pPr>
              <w:rPr>
                <w:rFonts w:hint="eastAsia" w:ascii="宋体" w:hAnsi="宋体" w:eastAsia="宋体" w:cs="宋体"/>
                <w:color w:val="000000"/>
                <w:sz w:val="18"/>
                <w:szCs w:val="18"/>
              </w:rPr>
            </w:pPr>
          </w:p>
        </w:tc>
      </w:tr>
      <w:tr>
        <w:tblPrEx>
          <w:tblLayout w:type="fixed"/>
          <w:tblCellMar>
            <w:top w:w="15" w:type="dxa"/>
            <w:left w:w="15" w:type="dxa"/>
            <w:bottom w:w="15" w:type="dxa"/>
            <w:right w:w="15" w:type="dxa"/>
          </w:tblCellMar>
        </w:tblPrEx>
        <w:tc>
          <w:tcPr>
            <w:tcW w:w="173" w:type="dxa"/>
            <w:vMerge w:val="continue"/>
            <w:shd w:val="clear" w:color="auto" w:fill="FFFFFF"/>
            <w:vAlign w:val="center"/>
          </w:tcPr>
          <w:p>
            <w:pPr>
              <w:rPr>
                <w:rFonts w:hint="eastAsia" w:ascii="宋体" w:hAnsi="宋体" w:eastAsia="宋体" w:cs="宋体"/>
                <w:color w:val="000000"/>
                <w:sz w:val="18"/>
                <w:szCs w:val="18"/>
              </w:rPr>
            </w:pPr>
          </w:p>
        </w:tc>
        <w:tc>
          <w:tcPr>
            <w:tcW w:w="316" w:type="dxa"/>
            <w:vMerge w:val="continue"/>
            <w:shd w:val="clear" w:color="auto" w:fill="FFFFFF"/>
            <w:vAlign w:val="center"/>
          </w:tcPr>
          <w:p>
            <w:pPr>
              <w:rPr>
                <w:rFonts w:hint="eastAsia" w:ascii="宋体" w:hAnsi="宋体" w:eastAsia="宋体" w:cs="宋体"/>
                <w:color w:val="000000"/>
                <w:sz w:val="18"/>
                <w:szCs w:val="18"/>
              </w:rPr>
            </w:pPr>
          </w:p>
        </w:tc>
        <w:tc>
          <w:tcPr>
            <w:tcW w:w="1385" w:type="dxa"/>
            <w:vMerge w:val="continue"/>
            <w:shd w:val="clear" w:color="auto" w:fill="FFFFFF"/>
            <w:vAlign w:val="center"/>
          </w:tcPr>
          <w:p>
            <w:pPr>
              <w:rPr>
                <w:rFonts w:hint="eastAsia" w:ascii="宋体" w:hAnsi="宋体" w:eastAsia="宋体" w:cs="宋体"/>
                <w:color w:val="000000"/>
                <w:sz w:val="18"/>
                <w:szCs w:val="18"/>
              </w:rPr>
            </w:pP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5425.2</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教育用地（幼儿园）</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50</w:t>
            </w:r>
          </w:p>
        </w:tc>
        <w:tc>
          <w:tcPr>
            <w:tcW w:w="11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≤1.0</w:t>
            </w:r>
          </w:p>
        </w:tc>
        <w:tc>
          <w:tcPr>
            <w:tcW w:w="67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≤35%</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≥30%</w:t>
            </w:r>
          </w:p>
        </w:tc>
        <w:tc>
          <w:tcPr>
            <w:tcW w:w="1385" w:type="dxa"/>
            <w:vMerge w:val="continue"/>
            <w:shd w:val="clear" w:color="auto" w:fill="FFFFFF"/>
            <w:vAlign w:val="center"/>
          </w:tcPr>
          <w:p>
            <w:pPr>
              <w:rPr>
                <w:rFonts w:hint="eastAsia" w:ascii="宋体" w:hAnsi="宋体" w:eastAsia="宋体" w:cs="宋体"/>
                <w:color w:val="000000"/>
                <w:sz w:val="18"/>
                <w:szCs w:val="18"/>
              </w:rPr>
            </w:pPr>
          </w:p>
        </w:tc>
        <w:tc>
          <w:tcPr>
            <w:tcW w:w="387" w:type="dxa"/>
            <w:vMerge w:val="continue"/>
            <w:shd w:val="clear" w:color="auto" w:fill="FFFFFF"/>
            <w:vAlign w:val="center"/>
          </w:tcPr>
          <w:p>
            <w:pPr>
              <w:rPr>
                <w:rFonts w:hint="eastAsia" w:ascii="宋体" w:hAnsi="宋体" w:eastAsia="宋体" w:cs="宋体"/>
                <w:color w:val="000000"/>
                <w:sz w:val="18"/>
                <w:szCs w:val="18"/>
              </w:rPr>
            </w:pPr>
          </w:p>
        </w:tc>
        <w:tc>
          <w:tcPr>
            <w:tcW w:w="530" w:type="dxa"/>
            <w:vMerge w:val="continue"/>
            <w:shd w:val="clear" w:color="auto" w:fill="FFFFFF"/>
            <w:vAlign w:val="center"/>
          </w:tcPr>
          <w:p>
            <w:pPr>
              <w:rPr>
                <w:rFonts w:hint="eastAsia" w:ascii="宋体" w:hAnsi="宋体" w:eastAsia="宋体" w:cs="宋体"/>
                <w:color w:val="000000"/>
                <w:sz w:val="18"/>
                <w:szCs w:val="18"/>
              </w:rPr>
            </w:pPr>
          </w:p>
        </w:tc>
        <w:tc>
          <w:tcPr>
            <w:tcW w:w="316" w:type="dxa"/>
            <w:vMerge w:val="continue"/>
            <w:shd w:val="clear" w:color="auto" w:fill="FFFFFF"/>
            <w:vAlign w:val="center"/>
          </w:tcPr>
          <w:p>
            <w:pPr>
              <w:rPr>
                <w:rFonts w:hint="eastAsia" w:ascii="宋体" w:hAnsi="宋体" w:eastAsia="宋体" w:cs="宋体"/>
                <w:color w:val="000000"/>
                <w:sz w:val="18"/>
                <w:szCs w:val="18"/>
              </w:rPr>
            </w:pPr>
          </w:p>
        </w:tc>
        <w:tc>
          <w:tcPr>
            <w:tcW w:w="316" w:type="dxa"/>
            <w:vMerge w:val="continue"/>
            <w:shd w:val="clear" w:color="auto" w:fill="FFFFFF"/>
            <w:vAlign w:val="center"/>
          </w:tcPr>
          <w:p>
            <w:pPr>
              <w:rPr>
                <w:rFonts w:hint="eastAsia" w:ascii="宋体" w:hAnsi="宋体" w:eastAsia="宋体" w:cs="宋体"/>
                <w:color w:val="000000"/>
                <w:sz w:val="18"/>
                <w:szCs w:val="18"/>
              </w:rPr>
            </w:pPr>
          </w:p>
        </w:tc>
      </w:tr>
      <w:tr>
        <w:tblPrEx>
          <w:tblLayout w:type="fixed"/>
          <w:tblCellMar>
            <w:top w:w="15" w:type="dxa"/>
            <w:left w:w="15" w:type="dxa"/>
            <w:bottom w:w="15" w:type="dxa"/>
            <w:right w:w="15" w:type="dxa"/>
          </w:tblCellMar>
        </w:tblPrEx>
        <w:tc>
          <w:tcPr>
            <w:tcW w:w="17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吴中区太湖度假区渔帆路东侧、陈华路南侧</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苏地2018-WG-31号</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11712.4</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零售商业用地</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40</w:t>
            </w:r>
          </w:p>
        </w:tc>
        <w:tc>
          <w:tcPr>
            <w:tcW w:w="11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＞1.0   ≤1.5</w:t>
            </w:r>
          </w:p>
        </w:tc>
        <w:tc>
          <w:tcPr>
            <w:tcW w:w="67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≤40%</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≥15%</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7027</w:t>
            </w:r>
          </w:p>
        </w:tc>
        <w:tc>
          <w:tcPr>
            <w:tcW w:w="38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1410</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210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80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部分不可分割销售且不得分割转让（具体详见特别说明）</w:t>
            </w:r>
          </w:p>
        </w:tc>
      </w:tr>
      <w:tr>
        <w:tblPrEx>
          <w:tblLayout w:type="fixed"/>
          <w:tblCellMar>
            <w:top w:w="15" w:type="dxa"/>
            <w:left w:w="15" w:type="dxa"/>
            <w:bottom w:w="15" w:type="dxa"/>
            <w:right w:w="15" w:type="dxa"/>
          </w:tblCellMar>
        </w:tblPrEx>
        <w:tc>
          <w:tcPr>
            <w:tcW w:w="17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吴中区胥口镇孙武路东侧、子胥路北侧</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苏地2018-WG-32号</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45156.85</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城镇住宅用地</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70</w:t>
            </w:r>
          </w:p>
        </w:tc>
        <w:tc>
          <w:tcPr>
            <w:tcW w:w="11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＞1.0   ≤1.7</w:t>
            </w:r>
          </w:p>
        </w:tc>
        <w:tc>
          <w:tcPr>
            <w:tcW w:w="67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≤30%</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≥37%</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61413</w:t>
            </w:r>
          </w:p>
        </w:tc>
        <w:tc>
          <w:tcPr>
            <w:tcW w:w="38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18430</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2790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300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可以分割销售</w:t>
            </w:r>
          </w:p>
        </w:tc>
      </w:tr>
      <w:tr>
        <w:tblPrEx>
          <w:tblLayout w:type="fixed"/>
          <w:tblCellMar>
            <w:top w:w="15" w:type="dxa"/>
            <w:left w:w="15" w:type="dxa"/>
            <w:bottom w:w="15" w:type="dxa"/>
            <w:right w:w="15" w:type="dxa"/>
          </w:tblCellMar>
        </w:tblPrEx>
        <w:tc>
          <w:tcPr>
            <w:tcW w:w="17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4</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吴中区长蠡路西侧、石湖西路南侧</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苏地2018-WG-33号</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62126.45</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城镇住宅用地</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70</w:t>
            </w:r>
          </w:p>
        </w:tc>
        <w:tc>
          <w:tcPr>
            <w:tcW w:w="11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＞1.0且≤2.5</w:t>
            </w:r>
          </w:p>
        </w:tc>
        <w:tc>
          <w:tcPr>
            <w:tcW w:w="67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≤25%</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≥37%</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209677</w:t>
            </w:r>
          </w:p>
        </w:tc>
        <w:tc>
          <w:tcPr>
            <w:tcW w:w="38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62910</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9520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800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可以分割销售</w:t>
            </w:r>
          </w:p>
        </w:tc>
      </w:tr>
      <w:tr>
        <w:tblPrEx>
          <w:tblLayout w:type="fixed"/>
          <w:tblCellMar>
            <w:top w:w="15" w:type="dxa"/>
            <w:left w:w="15" w:type="dxa"/>
            <w:bottom w:w="15" w:type="dxa"/>
            <w:right w:w="15" w:type="dxa"/>
          </w:tblCellMar>
        </w:tblPrEx>
        <w:tc>
          <w:tcPr>
            <w:tcW w:w="17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5</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相城区元和街道文灵路东、安元路北</w:t>
            </w:r>
          </w:p>
        </w:tc>
        <w:tc>
          <w:tcPr>
            <w:tcW w:w="13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苏地2018-WG-34号</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25439</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商服用地、城镇住宅用地</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70、40</w:t>
            </w:r>
          </w:p>
        </w:tc>
        <w:tc>
          <w:tcPr>
            <w:tcW w:w="110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＞1≤2.2</w:t>
            </w:r>
          </w:p>
        </w:tc>
        <w:tc>
          <w:tcPr>
            <w:tcW w:w="672"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≤30%</w:t>
            </w:r>
          </w:p>
        </w:tc>
        <w:tc>
          <w:tcPr>
            <w:tcW w:w="53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≥30%</w:t>
            </w:r>
          </w:p>
        </w:tc>
        <w:tc>
          <w:tcPr>
            <w:tcW w:w="13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291258</w:t>
            </w:r>
          </w:p>
        </w:tc>
        <w:tc>
          <w:tcPr>
            <w:tcW w:w="387"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87380</w:t>
            </w:r>
          </w:p>
        </w:tc>
        <w:tc>
          <w:tcPr>
            <w:tcW w:w="53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13220</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1000</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住宅可以分割销售，商业不可分割销售且不得分割转让</w:t>
            </w:r>
          </w:p>
        </w:tc>
      </w:tr>
      <w:tr>
        <w:tblPrEx>
          <w:tblLayout w:type="fixed"/>
          <w:tblCellMar>
            <w:top w:w="15" w:type="dxa"/>
            <w:left w:w="15" w:type="dxa"/>
            <w:bottom w:w="15" w:type="dxa"/>
            <w:right w:w="15" w:type="dxa"/>
          </w:tblCellMar>
        </w:tblPrEx>
        <w:tc>
          <w:tcPr>
            <w:tcW w:w="173" w:type="dxa"/>
            <w:vMerge w:val="continue"/>
            <w:shd w:val="clear" w:color="auto" w:fill="FFFFFF"/>
            <w:vAlign w:val="center"/>
          </w:tcPr>
          <w:p>
            <w:pPr>
              <w:rPr>
                <w:rFonts w:hint="eastAsia" w:ascii="宋体" w:hAnsi="宋体" w:eastAsia="宋体" w:cs="宋体"/>
                <w:color w:val="000000"/>
                <w:sz w:val="18"/>
                <w:szCs w:val="18"/>
              </w:rPr>
            </w:pPr>
          </w:p>
        </w:tc>
        <w:tc>
          <w:tcPr>
            <w:tcW w:w="316" w:type="dxa"/>
            <w:vMerge w:val="continue"/>
            <w:shd w:val="clear" w:color="auto" w:fill="FFFFFF"/>
            <w:vAlign w:val="center"/>
          </w:tcPr>
          <w:p>
            <w:pPr>
              <w:rPr>
                <w:rFonts w:hint="eastAsia" w:ascii="宋体" w:hAnsi="宋体" w:eastAsia="宋体" w:cs="宋体"/>
                <w:color w:val="000000"/>
                <w:sz w:val="18"/>
                <w:szCs w:val="18"/>
              </w:rPr>
            </w:pPr>
          </w:p>
        </w:tc>
        <w:tc>
          <w:tcPr>
            <w:tcW w:w="1385" w:type="dxa"/>
            <w:vMerge w:val="continue"/>
            <w:shd w:val="clear" w:color="auto" w:fill="FFFFFF"/>
            <w:vAlign w:val="center"/>
          </w:tcPr>
          <w:p>
            <w:pPr>
              <w:rPr>
                <w:rFonts w:hint="eastAsia" w:ascii="宋体" w:hAnsi="宋体" w:eastAsia="宋体" w:cs="宋体"/>
                <w:color w:val="000000"/>
                <w:sz w:val="18"/>
                <w:szCs w:val="18"/>
              </w:rPr>
            </w:pP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62821</w:t>
            </w:r>
          </w:p>
        </w:tc>
        <w:tc>
          <w:tcPr>
            <w:tcW w:w="316" w:type="dxa"/>
            <w:vMerge w:val="continue"/>
            <w:shd w:val="clear" w:color="auto" w:fill="FFFFFF"/>
            <w:vAlign w:val="center"/>
          </w:tcPr>
          <w:p>
            <w:pPr>
              <w:rPr>
                <w:rFonts w:hint="eastAsia" w:ascii="宋体" w:hAnsi="宋体" w:eastAsia="宋体" w:cs="宋体"/>
                <w:color w:val="000000"/>
                <w:sz w:val="18"/>
                <w:szCs w:val="18"/>
              </w:rPr>
            </w:pPr>
          </w:p>
        </w:tc>
        <w:tc>
          <w:tcPr>
            <w:tcW w:w="316" w:type="dxa"/>
            <w:vMerge w:val="continue"/>
            <w:shd w:val="clear" w:color="auto" w:fill="FFFFFF"/>
            <w:vAlign w:val="center"/>
          </w:tcPr>
          <w:p>
            <w:pPr>
              <w:rPr>
                <w:rFonts w:hint="eastAsia" w:ascii="宋体" w:hAnsi="宋体" w:eastAsia="宋体" w:cs="宋体"/>
                <w:color w:val="000000"/>
                <w:sz w:val="18"/>
                <w:szCs w:val="18"/>
              </w:rPr>
            </w:pPr>
          </w:p>
        </w:tc>
        <w:tc>
          <w:tcPr>
            <w:tcW w:w="1100" w:type="dxa"/>
            <w:vMerge w:val="continue"/>
            <w:shd w:val="clear" w:color="auto" w:fill="FFFFFF"/>
            <w:vAlign w:val="center"/>
          </w:tcPr>
          <w:p>
            <w:pPr>
              <w:rPr>
                <w:rFonts w:hint="eastAsia" w:ascii="宋体" w:hAnsi="宋体" w:eastAsia="宋体" w:cs="宋体"/>
                <w:color w:val="000000"/>
                <w:sz w:val="18"/>
                <w:szCs w:val="18"/>
              </w:rPr>
            </w:pPr>
          </w:p>
        </w:tc>
        <w:tc>
          <w:tcPr>
            <w:tcW w:w="672" w:type="dxa"/>
            <w:vMerge w:val="continue"/>
            <w:shd w:val="clear" w:color="auto" w:fill="FFFFFF"/>
            <w:vAlign w:val="center"/>
          </w:tcPr>
          <w:p>
            <w:pPr>
              <w:rPr>
                <w:rFonts w:hint="eastAsia" w:ascii="宋体" w:hAnsi="宋体" w:eastAsia="宋体" w:cs="宋体"/>
                <w:color w:val="000000"/>
                <w:sz w:val="18"/>
                <w:szCs w:val="18"/>
              </w:rPr>
            </w:pPr>
          </w:p>
        </w:tc>
        <w:tc>
          <w:tcPr>
            <w:tcW w:w="530" w:type="dxa"/>
            <w:vMerge w:val="continue"/>
            <w:shd w:val="clear" w:color="auto" w:fill="FFFFFF"/>
            <w:vAlign w:val="center"/>
          </w:tcPr>
          <w:p>
            <w:pPr>
              <w:rPr>
                <w:rFonts w:hint="eastAsia" w:ascii="宋体" w:hAnsi="宋体" w:eastAsia="宋体" w:cs="宋体"/>
                <w:color w:val="000000"/>
                <w:sz w:val="18"/>
                <w:szCs w:val="18"/>
              </w:rPr>
            </w:pPr>
          </w:p>
        </w:tc>
        <w:tc>
          <w:tcPr>
            <w:tcW w:w="1385" w:type="dxa"/>
            <w:vMerge w:val="continue"/>
            <w:shd w:val="clear" w:color="auto" w:fill="FFFFFF"/>
            <w:vAlign w:val="center"/>
          </w:tcPr>
          <w:p>
            <w:pPr>
              <w:rPr>
                <w:rFonts w:hint="eastAsia" w:ascii="宋体" w:hAnsi="宋体" w:eastAsia="宋体" w:cs="宋体"/>
                <w:color w:val="000000"/>
                <w:sz w:val="18"/>
                <w:szCs w:val="18"/>
              </w:rPr>
            </w:pPr>
          </w:p>
        </w:tc>
        <w:tc>
          <w:tcPr>
            <w:tcW w:w="387" w:type="dxa"/>
            <w:vMerge w:val="continue"/>
            <w:shd w:val="clear" w:color="auto" w:fill="FFFFFF"/>
            <w:vAlign w:val="center"/>
          </w:tcPr>
          <w:p>
            <w:pPr>
              <w:rPr>
                <w:rFonts w:hint="eastAsia" w:ascii="宋体" w:hAnsi="宋体" w:eastAsia="宋体" w:cs="宋体"/>
                <w:color w:val="000000"/>
                <w:sz w:val="18"/>
                <w:szCs w:val="18"/>
              </w:rPr>
            </w:pPr>
          </w:p>
        </w:tc>
        <w:tc>
          <w:tcPr>
            <w:tcW w:w="530" w:type="dxa"/>
            <w:vMerge w:val="continue"/>
            <w:shd w:val="clear" w:color="auto" w:fill="FFFFFF"/>
            <w:vAlign w:val="center"/>
          </w:tcPr>
          <w:p>
            <w:pPr>
              <w:rPr>
                <w:rFonts w:hint="eastAsia" w:ascii="宋体" w:hAnsi="宋体" w:eastAsia="宋体" w:cs="宋体"/>
                <w:color w:val="000000"/>
                <w:sz w:val="18"/>
                <w:szCs w:val="18"/>
              </w:rPr>
            </w:pPr>
          </w:p>
        </w:tc>
        <w:tc>
          <w:tcPr>
            <w:tcW w:w="316" w:type="dxa"/>
            <w:vMerge w:val="continue"/>
            <w:shd w:val="clear" w:color="auto" w:fill="FFFFFF"/>
            <w:vAlign w:val="center"/>
          </w:tcPr>
          <w:p>
            <w:pPr>
              <w:rPr>
                <w:rFonts w:hint="eastAsia" w:ascii="宋体" w:hAnsi="宋体" w:eastAsia="宋体" w:cs="宋体"/>
                <w:color w:val="000000"/>
                <w:sz w:val="18"/>
                <w:szCs w:val="18"/>
              </w:rPr>
            </w:pPr>
          </w:p>
        </w:tc>
        <w:tc>
          <w:tcPr>
            <w:tcW w:w="316" w:type="dxa"/>
            <w:vMerge w:val="continue"/>
            <w:shd w:val="clear" w:color="auto" w:fill="FFFFFF"/>
            <w:vAlign w:val="center"/>
          </w:tcPr>
          <w:p>
            <w:pPr>
              <w:rPr>
                <w:rFonts w:hint="eastAsia" w:ascii="宋体" w:hAnsi="宋体" w:eastAsia="宋体" w:cs="宋体"/>
                <w:color w:val="000000"/>
                <w:sz w:val="18"/>
                <w:szCs w:val="18"/>
              </w:rPr>
            </w:pPr>
          </w:p>
        </w:tc>
      </w:tr>
      <w:tr>
        <w:tblPrEx>
          <w:tblLayout w:type="fixed"/>
          <w:tblCellMar>
            <w:top w:w="15" w:type="dxa"/>
            <w:left w:w="15" w:type="dxa"/>
            <w:bottom w:w="15" w:type="dxa"/>
            <w:right w:w="15" w:type="dxa"/>
          </w:tblCellMar>
        </w:tblPrEx>
        <w:tc>
          <w:tcPr>
            <w:tcW w:w="17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6</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相城区高铁新城吴韵路东、胡巷街南</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苏地2018-WG-35号</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13876</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商服用地、城镇住宅用地</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70、40</w:t>
            </w:r>
          </w:p>
        </w:tc>
        <w:tc>
          <w:tcPr>
            <w:tcW w:w="11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≥3.0   ≤4.0</w:t>
            </w:r>
          </w:p>
        </w:tc>
        <w:tc>
          <w:tcPr>
            <w:tcW w:w="67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≤20%</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≥30%</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54394</w:t>
            </w:r>
          </w:p>
        </w:tc>
        <w:tc>
          <w:tcPr>
            <w:tcW w:w="38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16320</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2470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300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部分不可分割销售且不得分割转让（具体详见特别说明）</w:t>
            </w:r>
          </w:p>
        </w:tc>
      </w:tr>
      <w:tr>
        <w:tblPrEx>
          <w:tblLayout w:type="fixed"/>
          <w:tblCellMar>
            <w:top w:w="15" w:type="dxa"/>
            <w:left w:w="15" w:type="dxa"/>
            <w:bottom w:w="15" w:type="dxa"/>
            <w:right w:w="15" w:type="dxa"/>
          </w:tblCellMar>
        </w:tblPrEx>
        <w:tc>
          <w:tcPr>
            <w:tcW w:w="17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7</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相城区开发区澄月路东、富元路南</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苏地2018-WG-36号</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24107</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商服用地</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40</w:t>
            </w:r>
          </w:p>
        </w:tc>
        <w:tc>
          <w:tcPr>
            <w:tcW w:w="11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≥1.0   ≤2.0</w:t>
            </w:r>
          </w:p>
        </w:tc>
        <w:tc>
          <w:tcPr>
            <w:tcW w:w="67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≤50%</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≥15%</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10848</w:t>
            </w:r>
          </w:p>
        </w:tc>
        <w:tc>
          <w:tcPr>
            <w:tcW w:w="38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2170</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330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110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除回购部分外不可分割销售且不得分割转让</w:t>
            </w:r>
          </w:p>
        </w:tc>
      </w:tr>
      <w:tr>
        <w:tblPrEx>
          <w:tblLayout w:type="fixed"/>
          <w:tblCellMar>
            <w:top w:w="15" w:type="dxa"/>
            <w:left w:w="15" w:type="dxa"/>
            <w:bottom w:w="15" w:type="dxa"/>
            <w:right w:w="15" w:type="dxa"/>
          </w:tblCellMar>
        </w:tblPrEx>
        <w:tc>
          <w:tcPr>
            <w:tcW w:w="17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8</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工业园区亭盛街西、唯青路南</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苏地2018-WG-37号</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71841.42</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城镇住宅用地</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70</w:t>
            </w:r>
          </w:p>
        </w:tc>
        <w:tc>
          <w:tcPr>
            <w:tcW w:w="11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1.2-1.5</w:t>
            </w:r>
          </w:p>
        </w:tc>
        <w:tc>
          <w:tcPr>
            <w:tcW w:w="67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25%-35%</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35%-50%</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167032</w:t>
            </w:r>
          </w:p>
        </w:tc>
        <w:tc>
          <w:tcPr>
            <w:tcW w:w="38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50200</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7600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500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可以分割销售</w:t>
            </w:r>
          </w:p>
        </w:tc>
      </w:tr>
      <w:tr>
        <w:tblPrEx>
          <w:tblLayout w:type="fixed"/>
          <w:tblCellMar>
            <w:top w:w="15" w:type="dxa"/>
            <w:left w:w="15" w:type="dxa"/>
            <w:bottom w:w="15" w:type="dxa"/>
            <w:right w:w="15" w:type="dxa"/>
          </w:tblCellMar>
        </w:tblPrEx>
        <w:tc>
          <w:tcPr>
            <w:tcW w:w="17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9</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高新区通安镇230省道绿化地西、青城山路绿化地北</w:t>
            </w:r>
          </w:p>
        </w:tc>
        <w:tc>
          <w:tcPr>
            <w:tcW w:w="138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苏地2018-WG-38号</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87720.8</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城镇住宅用地</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70</w:t>
            </w:r>
          </w:p>
        </w:tc>
        <w:tc>
          <w:tcPr>
            <w:tcW w:w="11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＞1.0且≤2.0</w:t>
            </w:r>
          </w:p>
        </w:tc>
        <w:tc>
          <w:tcPr>
            <w:tcW w:w="6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≤20%</w:t>
            </w:r>
          </w:p>
        </w:tc>
        <w:tc>
          <w:tcPr>
            <w:tcW w:w="53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≥30%</w:t>
            </w:r>
          </w:p>
        </w:tc>
        <w:tc>
          <w:tcPr>
            <w:tcW w:w="1385"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218585</w:t>
            </w:r>
          </w:p>
        </w:tc>
        <w:tc>
          <w:tcPr>
            <w:tcW w:w="387"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65580</w:t>
            </w:r>
          </w:p>
        </w:tc>
        <w:tc>
          <w:tcPr>
            <w:tcW w:w="530" w:type="dxa"/>
            <w:vMerge w:val="restart"/>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10050</w:t>
            </w:r>
          </w:p>
        </w:tc>
        <w:tc>
          <w:tcPr>
            <w:tcW w:w="31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1000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可以分割销售</w:t>
            </w:r>
          </w:p>
        </w:tc>
      </w:tr>
      <w:tr>
        <w:tblPrEx>
          <w:tblLayout w:type="fixed"/>
          <w:tblCellMar>
            <w:top w:w="15" w:type="dxa"/>
            <w:left w:w="15" w:type="dxa"/>
            <w:bottom w:w="15" w:type="dxa"/>
            <w:right w:w="15" w:type="dxa"/>
          </w:tblCellMar>
        </w:tblPrEx>
        <w:tc>
          <w:tcPr>
            <w:tcW w:w="173" w:type="dxa"/>
            <w:vMerge w:val="continue"/>
            <w:shd w:val="clear" w:color="auto" w:fill="FFFFFF"/>
            <w:vAlign w:val="center"/>
          </w:tcPr>
          <w:p>
            <w:pPr>
              <w:rPr>
                <w:rFonts w:hint="eastAsia" w:ascii="宋体" w:hAnsi="宋体" w:eastAsia="宋体" w:cs="宋体"/>
                <w:color w:val="000000"/>
                <w:sz w:val="18"/>
                <w:szCs w:val="18"/>
              </w:rPr>
            </w:pPr>
          </w:p>
        </w:tc>
        <w:tc>
          <w:tcPr>
            <w:tcW w:w="316" w:type="dxa"/>
            <w:vMerge w:val="continue"/>
            <w:shd w:val="clear" w:color="auto" w:fill="FFFFFF"/>
            <w:vAlign w:val="center"/>
          </w:tcPr>
          <w:p>
            <w:pPr>
              <w:rPr>
                <w:rFonts w:hint="eastAsia" w:ascii="宋体" w:hAnsi="宋体" w:eastAsia="宋体" w:cs="宋体"/>
                <w:color w:val="000000"/>
                <w:sz w:val="18"/>
                <w:szCs w:val="18"/>
              </w:rPr>
            </w:pPr>
          </w:p>
        </w:tc>
        <w:tc>
          <w:tcPr>
            <w:tcW w:w="1385" w:type="dxa"/>
            <w:vMerge w:val="continue"/>
            <w:shd w:val="clear" w:color="auto" w:fill="FFFFFF"/>
            <w:vAlign w:val="center"/>
          </w:tcPr>
          <w:p>
            <w:pPr>
              <w:rPr>
                <w:rFonts w:hint="eastAsia" w:ascii="宋体" w:hAnsi="宋体" w:eastAsia="宋体" w:cs="宋体"/>
                <w:color w:val="000000"/>
                <w:sz w:val="18"/>
                <w:szCs w:val="18"/>
              </w:rPr>
            </w:pP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22374.7</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零售商业用地</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40</w:t>
            </w:r>
          </w:p>
        </w:tc>
        <w:tc>
          <w:tcPr>
            <w:tcW w:w="11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≤1.2</w:t>
            </w:r>
          </w:p>
        </w:tc>
        <w:tc>
          <w:tcPr>
            <w:tcW w:w="672"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≤55%</w:t>
            </w:r>
          </w:p>
        </w:tc>
        <w:tc>
          <w:tcPr>
            <w:tcW w:w="53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w:t>
            </w:r>
          </w:p>
        </w:tc>
        <w:tc>
          <w:tcPr>
            <w:tcW w:w="1385" w:type="dxa"/>
            <w:vMerge w:val="continue"/>
            <w:shd w:val="clear"/>
            <w:vAlign w:val="center"/>
          </w:tcPr>
          <w:p>
            <w:pPr>
              <w:rPr>
                <w:rFonts w:hint="eastAsia" w:ascii="宋体" w:hAnsi="宋体" w:eastAsia="宋体" w:cs="宋体"/>
                <w:color w:val="000000"/>
                <w:sz w:val="18"/>
                <w:szCs w:val="18"/>
              </w:rPr>
            </w:pPr>
          </w:p>
        </w:tc>
        <w:tc>
          <w:tcPr>
            <w:tcW w:w="387" w:type="dxa"/>
            <w:vMerge w:val="continue"/>
            <w:shd w:val="clear"/>
            <w:vAlign w:val="center"/>
          </w:tcPr>
          <w:p>
            <w:pPr>
              <w:rPr>
                <w:rFonts w:hint="eastAsia" w:ascii="宋体" w:hAnsi="宋体" w:eastAsia="宋体" w:cs="宋体"/>
                <w:color w:val="000000"/>
                <w:sz w:val="18"/>
                <w:szCs w:val="18"/>
              </w:rPr>
            </w:pPr>
          </w:p>
        </w:tc>
        <w:tc>
          <w:tcPr>
            <w:tcW w:w="530" w:type="dxa"/>
            <w:vMerge w:val="continue"/>
            <w:shd w:val="clear"/>
            <w:vAlign w:val="center"/>
          </w:tcPr>
          <w:p>
            <w:pPr>
              <w:rPr>
                <w:rFonts w:hint="eastAsia" w:ascii="宋体" w:hAnsi="宋体" w:eastAsia="宋体" w:cs="宋体"/>
                <w:color w:val="000000"/>
                <w:sz w:val="18"/>
                <w:szCs w:val="18"/>
              </w:rPr>
            </w:pPr>
          </w:p>
        </w:tc>
        <w:tc>
          <w:tcPr>
            <w:tcW w:w="316" w:type="dxa"/>
            <w:vMerge w:val="continue"/>
            <w:shd w:val="clear" w:color="auto" w:fill="FFFFFF"/>
            <w:vAlign w:val="center"/>
          </w:tcPr>
          <w:p>
            <w:pPr>
              <w:rPr>
                <w:rFonts w:hint="eastAsia" w:ascii="宋体" w:hAnsi="宋体" w:eastAsia="宋体" w:cs="宋体"/>
                <w:color w:val="000000"/>
                <w:sz w:val="18"/>
                <w:szCs w:val="18"/>
              </w:rPr>
            </w:pP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不可分割销售</w:t>
            </w:r>
          </w:p>
        </w:tc>
      </w:tr>
      <w:tr>
        <w:tblPrEx>
          <w:tblLayout w:type="fixed"/>
          <w:tblCellMar>
            <w:top w:w="15" w:type="dxa"/>
            <w:left w:w="15" w:type="dxa"/>
            <w:bottom w:w="15" w:type="dxa"/>
            <w:right w:w="15" w:type="dxa"/>
          </w:tblCellMar>
        </w:tblPrEx>
        <w:tc>
          <w:tcPr>
            <w:tcW w:w="17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高新区浒墅关镇城际路西、宜家南侧路南</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苏地2018-WG-39号</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19808.3</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零售商业用地</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40</w:t>
            </w:r>
          </w:p>
        </w:tc>
        <w:tc>
          <w:tcPr>
            <w:tcW w:w="11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≤1.6</w:t>
            </w:r>
          </w:p>
        </w:tc>
        <w:tc>
          <w:tcPr>
            <w:tcW w:w="67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≤50%</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w:t>
            </w:r>
          </w:p>
        </w:tc>
        <w:tc>
          <w:tcPr>
            <w:tcW w:w="138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8240</w:t>
            </w:r>
          </w:p>
        </w:tc>
        <w:tc>
          <w:tcPr>
            <w:tcW w:w="38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1650</w:t>
            </w:r>
          </w:p>
        </w:tc>
        <w:tc>
          <w:tcPr>
            <w:tcW w:w="5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250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90</w:t>
            </w:r>
          </w:p>
        </w:tc>
        <w:tc>
          <w:tcPr>
            <w:tcW w:w="31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0"/>
                <w:szCs w:val="20"/>
                <w:u w:val="none"/>
                <w:bdr w:val="none" w:color="auto" w:sz="0" w:space="0"/>
                <w:lang w:val="en-US" w:eastAsia="zh-CN" w:bidi="ar"/>
              </w:rPr>
              <w:t>不可分割销售</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二、出让土地起报价组成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以上地块出让总价包含国有建设用地使用权出让价款和政府有关部门收取的行政规费。具体各项行政规费详见《苏州市区国有建设用地使用权网上挂牌出让须知》。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三、出让土地受让对象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中华人民共和国境内外的自然人、法人和其他组织，除法律、法规和国家政策另有规定外，均可申请参加国有建设用地使用权挂牌竞价出让活动。可以独立竞买，也可以联合竞买。非房地产公司竞得后，可获得该地块上房地产单项开发经营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个别地块对申请竞买人有一定的条件要求，具体详见特别说明。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根据江苏省信用办《关于对国家下发的严重失信企业实施联合惩戒工作的通知》（苏信用办﹝</w:t>
      </w:r>
      <w:r>
        <w:rPr>
          <w:rFonts w:hint="default" w:ascii="仿宋_GB2312" w:hAnsi="微软雅黑" w:eastAsia="仿宋_GB2312" w:cs="仿宋_GB2312"/>
          <w:b w:val="0"/>
          <w:color w:val="000000"/>
          <w:kern w:val="0"/>
          <w:sz w:val="32"/>
          <w:szCs w:val="32"/>
          <w:u w:val="none"/>
          <w:bdr w:val="none" w:color="auto" w:sz="0" w:space="0"/>
          <w:lang w:val="en-US" w:eastAsia="zh-CN" w:bidi="ar"/>
        </w:rPr>
        <w:t>2016﹞73号）要求，限制严重失信企业参加国有建设用地使用权挂牌竞价出让活动。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竞买人土地出让价款的资金来源应符合相关文件规定，并在竞得资格审查时提交书面承诺。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对于违反上述规定的竞买人，经认定构成违规参与竞买的，将认定其为国有建设用地使用权挂牌竞价出让失信行为人，禁止其在失信行为发生后三年内参加苏州市区国有建设用地使用权挂牌竞价出让活动。对于违反上述规定、构成违规参与竞买的竞得人，苏州市国土资源局有权取消其竞得资格，没收其所支付的全部保证金，并保留要求其赔偿该地块组织网上挂牌出让支出的全部费用的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四、出让土地有关事项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（一）土地出让方式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本次国有建设用地使用权网上挂牌出让采取在互联网上出让的方式进行，意向竞买人应持</w:t>
      </w:r>
      <w:r>
        <w:rPr>
          <w:rFonts w:hint="default" w:ascii="仿宋_GB2312" w:hAnsi="微软雅黑" w:eastAsia="仿宋_GB2312" w:cs="仿宋_GB2312"/>
          <w:b w:val="0"/>
          <w:color w:val="000000"/>
          <w:kern w:val="0"/>
          <w:sz w:val="32"/>
          <w:szCs w:val="32"/>
          <w:u w:val="none"/>
          <w:bdr w:val="none" w:color="auto" w:sz="0" w:space="0"/>
          <w:lang w:val="en-US" w:eastAsia="zh-CN" w:bidi="ar"/>
        </w:rPr>
        <w:t>CA证书通过苏州市国有建设用地使用权网上出让系统（以下简称“网上出让系统”），参与网上挂牌出让竞买。CA证书办理地点在苏州高新区邓尉路9号润捷广场1幢2001室（联系电话：0512-68701110、68703189），意向竞买人取得CA证书后至苏州市国土资源信息中心服务窗口（苏州市干将西路1018号809办公室）注册，注册后方可凭CA证书参与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（二）土地出让流程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    1.公告：本出让公告发布时间为2018年11月27</w:t>
      </w:r>
      <w:r>
        <w:rPr>
          <w:rFonts w:hint="eastAsia" w:ascii="微软雅黑" w:hAnsi="微软雅黑" w:eastAsia="微软雅黑" w:cs="微软雅黑"/>
          <w:b w:val="0"/>
          <w:color w:val="000000"/>
          <w:kern w:val="0"/>
          <w:sz w:val="21"/>
          <w:szCs w:val="21"/>
          <w:u w:val="none"/>
          <w:bdr w:val="none" w:color="auto" w:sz="0" w:space="0"/>
          <w:lang w:val="en-US" w:eastAsia="zh-CN" w:bidi="ar"/>
        </w:rPr>
        <w:t>日至</w:t>
      </w:r>
      <w:r>
        <w:rPr>
          <w:rFonts w:hint="default" w:ascii="仿宋_GB2312" w:hAnsi="微软雅黑" w:eastAsia="仿宋_GB2312" w:cs="仿宋_GB2312"/>
          <w:b w:val="0"/>
          <w:color w:val="000000"/>
          <w:kern w:val="0"/>
          <w:sz w:val="32"/>
          <w:szCs w:val="32"/>
          <w:u w:val="none"/>
          <w:bdr w:val="none" w:color="auto" w:sz="0" w:space="0"/>
          <w:lang w:val="en-US" w:eastAsia="zh-CN" w:bidi="ar"/>
        </w:rPr>
        <w:t>2018年12月23日。公告发布后，意向竞买人可通过网上出让系统下载网上挂牌出让文件，也可到苏州市国土资源局土地利用处索取资料。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2.报名：公告期满后进入挂牌期，挂牌期不少于10天。符合报名资格条件的竞买申请人可于2018年12月24日9时起至2019年1月3日下午16:00止持CA证书登录网上出让系统提交竞买申请，并在网上出让系统确定的银行中选择一家银行按时足额缴纳竞买保证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3.自由报价：网上出让系统开通竞买资格后，竞买人可进行自由报价，自由报价截止时间为2019年1月4日上午9：00。自由报价按照不低于起始价的原则，采用增价方式报价，每次报价应当在当前最高报价基础上递增1至5个整数倍的加价幅度。网上出让系统允许多次报价，报价一经确认后，不得变更或者撤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    4.限时竞价：本次挂牌截止时间为2019年1月4日上午10:00，挂牌截止前一小时，停止更新挂牌价格，停止更新时最高报价作为限时竞价起报价。限时竞价采用增价方式报价，每次报价应当在当前最高报价基础上递增1至5个整数倍的加价幅度。各地块在挂牌截止后进入限时竞价程序。无论竞买人在自由报价期间是否报价，均可参加限时竞价。限时竞价两次报价时间间隔不超过4分钟，若4分钟内无价格更新，报价最高者即为竞得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本次公告地块限时竞价起始时间如下：</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1月4日10:00  苏地2018-WG-30号地块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1月4日10:30  苏地2018-WG-31号地块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1月4日 11:00  苏地2018-WG-32号地块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1月4日12:00  苏地2018-WG-33号地块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1月4日13:00  苏地2018-WG-34号地块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1月4日14:00  苏地2018-WG-35号地块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1月4日14:30  苏地2018-WG-36号地块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1月4日15:00  苏地2018-WG-37号地块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1月4日16:00  苏地2018-WG-38号地块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1月4日16:30  苏地2018-WG-39号地块</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     5.一次报价：对设定市场指导价的7宗地块，在网上挂牌自由报价和限时竞价阶段，土地使用权网上竞价超过市场指导价的25%以上的，网上竞价中止，转为网上一次报价。</w:t>
      </w:r>
      <w:r>
        <w:rPr>
          <w:rFonts w:hint="eastAsia" w:ascii="微软雅黑" w:hAnsi="微软雅黑" w:eastAsia="微软雅黑" w:cs="微软雅黑"/>
          <w:b w:val="0"/>
          <w:color w:val="000000"/>
          <w:kern w:val="0"/>
          <w:sz w:val="21"/>
          <w:szCs w:val="21"/>
          <w:u w:val="none"/>
          <w:bdr w:val="none" w:color="auto" w:sz="0" w:space="0"/>
          <w:lang w:val="en-US" w:eastAsia="zh-CN" w:bidi="ar"/>
        </w:rPr>
        <w:t>所有取得相应地块网上竞价资格的竞买人均可参加该地块一次报价。出让人在网上竞价中止后</w:t>
      </w:r>
      <w:r>
        <w:rPr>
          <w:rFonts w:hint="default" w:ascii="仿宋_GB2312" w:hAnsi="微软雅黑" w:eastAsia="仿宋_GB2312" w:cs="仿宋_GB2312"/>
          <w:b w:val="0"/>
          <w:color w:val="000000"/>
          <w:kern w:val="0"/>
          <w:sz w:val="32"/>
          <w:szCs w:val="32"/>
          <w:u w:val="none"/>
          <w:bdr w:val="none" w:color="auto" w:sz="0" w:space="0"/>
          <w:lang w:val="en-US" w:eastAsia="zh-CN" w:bidi="ar"/>
        </w:rPr>
        <w:t>10分钟内开通一次报价功能并发布开通的提示信息。一次报价功能开通时点即为一次报价起始时间（以服务器时间为准），一次报价起止时间为10分钟。前5分钟为一次报价资格确认阶段，后5分钟为竞买人报价阶段。</w:t>
      </w:r>
      <w:r>
        <w:rPr>
          <w:rFonts w:hint="eastAsia" w:ascii="微软雅黑" w:hAnsi="微软雅黑" w:eastAsia="微软雅黑" w:cs="微软雅黑"/>
          <w:b w:val="0"/>
          <w:color w:val="000000"/>
          <w:kern w:val="0"/>
          <w:sz w:val="21"/>
          <w:szCs w:val="21"/>
          <w:u w:val="none"/>
          <w:bdr w:val="none" w:color="auto" w:sz="0" w:space="0"/>
          <w:lang w:val="en-US" w:eastAsia="zh-CN" w:bidi="ar"/>
        </w:rPr>
        <w:t>竞买人报价在出让人公布的一次报价总额有效区间范围内，进行一次报价。在规定时间内未报价的，视同放弃报价资格。以一次报价中最接近所有一次报价平均价的原则确定竞得人，以其所报价格确定为地块竞得价格。（详见《土地使用权网上竞价超过市场指导价报价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本次公告设定市场指导价的</w:t>
      </w:r>
      <w:r>
        <w:rPr>
          <w:rFonts w:hint="default" w:ascii="仿宋_GB2312" w:hAnsi="微软雅黑" w:eastAsia="仿宋_GB2312" w:cs="仿宋_GB2312"/>
          <w:b w:val="0"/>
          <w:color w:val="000000"/>
          <w:kern w:val="0"/>
          <w:sz w:val="32"/>
          <w:szCs w:val="32"/>
          <w:u w:val="none"/>
          <w:bdr w:val="none" w:color="auto" w:sz="0" w:space="0"/>
          <w:lang w:val="en-US" w:eastAsia="zh-CN" w:bidi="ar"/>
        </w:rPr>
        <w:t>7宗地块的市场指导价及一次报价有效区间如下：</w:t>
      </w:r>
    </w:p>
    <w:tbl>
      <w:tblPr>
        <w:tblW w:w="1333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560"/>
        <w:gridCol w:w="2064"/>
        <w:gridCol w:w="8"/>
        <w:gridCol w:w="2295"/>
        <w:gridCol w:w="2072"/>
        <w:gridCol w:w="2072"/>
        <w:gridCol w:w="2180"/>
        <w:gridCol w:w="20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2"/>
                <w:szCs w:val="22"/>
                <w:u w:val="none"/>
                <w:bdr w:val="none" w:color="auto" w:sz="0" w:space="0"/>
                <w:lang w:val="en-US" w:eastAsia="zh-CN" w:bidi="ar"/>
              </w:rPr>
              <w:t>序号</w:t>
            </w:r>
          </w:p>
        </w:tc>
        <w:tc>
          <w:tcPr>
            <w:tcW w:w="206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2"/>
                <w:szCs w:val="22"/>
                <w:u w:val="none"/>
                <w:bdr w:val="none" w:color="auto" w:sz="0" w:space="0"/>
                <w:lang w:val="en-US" w:eastAsia="zh-CN" w:bidi="ar"/>
              </w:rPr>
              <w:t>地块位置</w:t>
            </w:r>
          </w:p>
        </w:tc>
        <w:tc>
          <w:tcPr>
            <w:tcW w:w="230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2"/>
                <w:szCs w:val="22"/>
                <w:u w:val="none"/>
                <w:bdr w:val="none" w:color="auto" w:sz="0" w:space="0"/>
                <w:lang w:val="en-US" w:eastAsia="zh-CN" w:bidi="ar"/>
              </w:rPr>
              <w:t>地块编号</w:t>
            </w:r>
          </w:p>
        </w:tc>
        <w:tc>
          <w:tcPr>
            <w:tcW w:w="20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2"/>
                <w:szCs w:val="22"/>
                <w:u w:val="none"/>
                <w:bdr w:val="none" w:color="auto" w:sz="0" w:space="0"/>
                <w:lang w:val="en-US" w:eastAsia="zh-CN" w:bidi="ar"/>
              </w:rPr>
              <w:t>市场指导价总价（元）</w:t>
            </w:r>
          </w:p>
        </w:tc>
        <w:tc>
          <w:tcPr>
            <w:tcW w:w="20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2"/>
                <w:szCs w:val="22"/>
                <w:u w:val="none"/>
                <w:bdr w:val="none" w:color="auto" w:sz="0" w:space="0"/>
                <w:lang w:val="en-US" w:eastAsia="zh-CN" w:bidi="ar"/>
              </w:rPr>
              <w:t>网上竞价中止价格（元）</w:t>
            </w:r>
          </w:p>
        </w:tc>
        <w:tc>
          <w:tcPr>
            <w:tcW w:w="426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黑体" w:hAnsi="宋体" w:eastAsia="黑体" w:cs="黑体"/>
                <w:b w:val="0"/>
                <w:color w:val="000000"/>
                <w:kern w:val="0"/>
                <w:sz w:val="22"/>
                <w:szCs w:val="22"/>
                <w:u w:val="none"/>
                <w:bdr w:val="none" w:color="auto" w:sz="0" w:space="0"/>
                <w:lang w:val="en-US" w:eastAsia="zh-CN" w:bidi="ar"/>
              </w:rPr>
              <w:t>一次报价有效区间（元）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1</w:t>
            </w:r>
          </w:p>
        </w:tc>
        <w:tc>
          <w:tcPr>
            <w:tcW w:w="20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吴中区太湖度假区丽波路北侧、天境路东侧</w:t>
            </w:r>
          </w:p>
        </w:tc>
        <w:tc>
          <w:tcPr>
            <w:tcW w:w="22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苏地2018-WG-30号</w:t>
            </w:r>
          </w:p>
        </w:tc>
        <w:tc>
          <w:tcPr>
            <w:tcW w:w="20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1337171365</w:t>
            </w:r>
          </w:p>
        </w:tc>
        <w:tc>
          <w:tcPr>
            <w:tcW w:w="20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1671464207</w:t>
            </w:r>
          </w:p>
        </w:tc>
        <w:tc>
          <w:tcPr>
            <w:tcW w:w="21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1671464207</w:t>
            </w:r>
          </w:p>
        </w:tc>
        <w:tc>
          <w:tcPr>
            <w:tcW w:w="2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1805181343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2</w:t>
            </w:r>
          </w:p>
        </w:tc>
        <w:tc>
          <w:tcPr>
            <w:tcW w:w="20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吴中区胥口镇孙武路东侧、子胥路北侧</w:t>
            </w:r>
          </w:p>
        </w:tc>
        <w:tc>
          <w:tcPr>
            <w:tcW w:w="22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苏地2018-WG-32号</w:t>
            </w:r>
          </w:p>
        </w:tc>
        <w:tc>
          <w:tcPr>
            <w:tcW w:w="20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844432600</w:t>
            </w:r>
          </w:p>
        </w:tc>
        <w:tc>
          <w:tcPr>
            <w:tcW w:w="20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1055540751</w:t>
            </w:r>
          </w:p>
        </w:tc>
        <w:tc>
          <w:tcPr>
            <w:tcW w:w="21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1055540751</w:t>
            </w:r>
          </w:p>
        </w:tc>
        <w:tc>
          <w:tcPr>
            <w:tcW w:w="2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1139984010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3</w:t>
            </w:r>
          </w:p>
        </w:tc>
        <w:tc>
          <w:tcPr>
            <w:tcW w:w="20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吴中区长蠡路西侧、石湖西路南侧</w:t>
            </w:r>
          </w:p>
        </w:tc>
        <w:tc>
          <w:tcPr>
            <w:tcW w:w="22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苏地2018-WG-33号</w:t>
            </w:r>
          </w:p>
        </w:tc>
        <w:tc>
          <w:tcPr>
            <w:tcW w:w="20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2795689800</w:t>
            </w:r>
          </w:p>
        </w:tc>
        <w:tc>
          <w:tcPr>
            <w:tcW w:w="20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3494612251</w:t>
            </w:r>
          </w:p>
        </w:tc>
        <w:tc>
          <w:tcPr>
            <w:tcW w:w="21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3494612251</w:t>
            </w:r>
          </w:p>
        </w:tc>
        <w:tc>
          <w:tcPr>
            <w:tcW w:w="2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3774181230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4</w:t>
            </w:r>
          </w:p>
        </w:tc>
        <w:tc>
          <w:tcPr>
            <w:tcW w:w="20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相城区元和街道文灵路东、安元路北</w:t>
            </w:r>
          </w:p>
        </w:tc>
        <w:tc>
          <w:tcPr>
            <w:tcW w:w="22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苏地2018-WG-34号</w:t>
            </w:r>
          </w:p>
        </w:tc>
        <w:tc>
          <w:tcPr>
            <w:tcW w:w="20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3592182000</w:t>
            </w:r>
          </w:p>
        </w:tc>
        <w:tc>
          <w:tcPr>
            <w:tcW w:w="20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4490227501</w:t>
            </w:r>
          </w:p>
        </w:tc>
        <w:tc>
          <w:tcPr>
            <w:tcW w:w="21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4490227501</w:t>
            </w:r>
          </w:p>
        </w:tc>
        <w:tc>
          <w:tcPr>
            <w:tcW w:w="2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4849445700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5</w:t>
            </w:r>
          </w:p>
        </w:tc>
        <w:tc>
          <w:tcPr>
            <w:tcW w:w="20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相城区高铁新城吴韵路东、胡巷街南</w:t>
            </w:r>
          </w:p>
        </w:tc>
        <w:tc>
          <w:tcPr>
            <w:tcW w:w="22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苏地2018-WG-35号</w:t>
            </w:r>
          </w:p>
        </w:tc>
        <w:tc>
          <w:tcPr>
            <w:tcW w:w="20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674484608</w:t>
            </w:r>
          </w:p>
        </w:tc>
        <w:tc>
          <w:tcPr>
            <w:tcW w:w="20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843105761</w:t>
            </w:r>
          </w:p>
        </w:tc>
        <w:tc>
          <w:tcPr>
            <w:tcW w:w="21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843105761</w:t>
            </w:r>
          </w:p>
        </w:tc>
        <w:tc>
          <w:tcPr>
            <w:tcW w:w="2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910554221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6</w:t>
            </w:r>
          </w:p>
        </w:tc>
        <w:tc>
          <w:tcPr>
            <w:tcW w:w="20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工业园区亭盛街西、唯青路南</w:t>
            </w:r>
          </w:p>
        </w:tc>
        <w:tc>
          <w:tcPr>
            <w:tcW w:w="22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苏地2018-WG-37号</w:t>
            </w:r>
          </w:p>
        </w:tc>
        <w:tc>
          <w:tcPr>
            <w:tcW w:w="20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2478528990</w:t>
            </w:r>
          </w:p>
        </w:tc>
        <w:tc>
          <w:tcPr>
            <w:tcW w:w="20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3098161239</w:t>
            </w:r>
          </w:p>
        </w:tc>
        <w:tc>
          <w:tcPr>
            <w:tcW w:w="21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3098161239</w:t>
            </w:r>
          </w:p>
        </w:tc>
        <w:tc>
          <w:tcPr>
            <w:tcW w:w="2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3346014137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7</w:t>
            </w:r>
          </w:p>
        </w:tc>
        <w:tc>
          <w:tcPr>
            <w:tcW w:w="2072"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高新区通安镇230省道绿化地西、青城山路绿化地北</w:t>
            </w:r>
          </w:p>
        </w:tc>
        <w:tc>
          <w:tcPr>
            <w:tcW w:w="229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苏地2018-WG-38号</w:t>
            </w:r>
          </w:p>
        </w:tc>
        <w:tc>
          <w:tcPr>
            <w:tcW w:w="207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2914464000</w:t>
            </w:r>
          </w:p>
        </w:tc>
        <w:tc>
          <w:tcPr>
            <w:tcW w:w="20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3643080001</w:t>
            </w:r>
          </w:p>
        </w:tc>
        <w:tc>
          <w:tcPr>
            <w:tcW w:w="21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3643080001</w:t>
            </w:r>
          </w:p>
        </w:tc>
        <w:tc>
          <w:tcPr>
            <w:tcW w:w="20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b w:val="0"/>
                <w:color w:val="000000"/>
                <w:sz w:val="21"/>
                <w:szCs w:val="21"/>
                <w:u w:val="none"/>
              </w:rPr>
            </w:pPr>
            <w:r>
              <w:rPr>
                <w:rFonts w:hint="eastAsia" w:ascii="宋体" w:hAnsi="宋体" w:eastAsia="宋体" w:cs="宋体"/>
                <w:b w:val="0"/>
                <w:color w:val="000000"/>
                <w:kern w:val="0"/>
                <w:sz w:val="22"/>
                <w:szCs w:val="22"/>
                <w:u w:val="none"/>
                <w:bdr w:val="none" w:color="auto" w:sz="0" w:space="0"/>
                <w:lang w:val="en-US" w:eastAsia="zh-CN" w:bidi="ar"/>
              </w:rPr>
              <w:t>3934526400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6.成交通知：地块成交后，网上出让系统自行向竞得人生成《国有建设用地使用权网上挂牌出让成交通知书》。竞得人应在竞得之日起5个工作日内，</w:t>
      </w:r>
      <w:r>
        <w:rPr>
          <w:rFonts w:hint="eastAsia" w:ascii="微软雅黑" w:hAnsi="微软雅黑" w:eastAsia="微软雅黑" w:cs="微软雅黑"/>
          <w:b w:val="0"/>
          <w:color w:val="000000"/>
          <w:kern w:val="0"/>
          <w:sz w:val="21"/>
          <w:szCs w:val="21"/>
          <w:u w:val="none"/>
          <w:bdr w:val="none" w:color="auto" w:sz="0" w:space="0"/>
          <w:lang w:val="en-US" w:eastAsia="zh-CN" w:bidi="ar"/>
        </w:rPr>
        <w:t>持成交通知书及有效证件原件、复印件提交出让人（苏州市国土资源局）进行竞买资格审查。（咨询电话：</w:t>
      </w:r>
      <w:r>
        <w:rPr>
          <w:rFonts w:hint="default" w:ascii="仿宋_GB2312" w:hAnsi="微软雅黑" w:eastAsia="仿宋_GB2312" w:cs="仿宋_GB2312"/>
          <w:b w:val="0"/>
          <w:color w:val="000000"/>
          <w:kern w:val="0"/>
          <w:sz w:val="32"/>
          <w:szCs w:val="32"/>
          <w:u w:val="none"/>
          <w:bdr w:val="none" w:color="auto" w:sz="0" w:space="0"/>
          <w:lang w:val="en-US" w:eastAsia="zh-CN" w:bidi="ar"/>
        </w:rPr>
        <w:t>0512-65167877）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    7.成交确认：审查通过后，竞得人应在10个工作日内与出让人签订《国有建设用地使用权网上挂牌出让成交确认书》。</w:t>
      </w:r>
      <w:r>
        <w:rPr>
          <w:rFonts w:hint="eastAsia" w:ascii="微软雅黑" w:hAnsi="微软雅黑" w:eastAsia="微软雅黑" w:cs="微软雅黑"/>
          <w:b w:val="0"/>
          <w:color w:val="000000"/>
          <w:kern w:val="0"/>
          <w:sz w:val="21"/>
          <w:szCs w:val="21"/>
          <w:u w:val="none"/>
          <w:bdr w:val="none" w:color="auto" w:sz="0" w:space="0"/>
          <w:lang w:val="en-US" w:eastAsia="zh-CN" w:bidi="ar"/>
        </w:rPr>
        <w:t>对未取得国有建设用地使用权的竞买人的竞买保证金，在网上挂牌竞价结束后</w:t>
      </w:r>
      <w:r>
        <w:rPr>
          <w:rFonts w:hint="default" w:ascii="仿宋_GB2312" w:hAnsi="微软雅黑" w:eastAsia="仿宋_GB2312" w:cs="仿宋_GB2312"/>
          <w:b w:val="0"/>
          <w:color w:val="000000"/>
          <w:kern w:val="0"/>
          <w:sz w:val="32"/>
          <w:szCs w:val="32"/>
          <w:u w:val="none"/>
          <w:bdr w:val="none" w:color="auto" w:sz="0" w:space="0"/>
          <w:lang w:val="en-US" w:eastAsia="zh-CN" w:bidi="ar"/>
        </w:rPr>
        <w:t>5个工作日内退还，保证金不计利息。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lef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8.签订出让合同：成交确认书签订后，竞得人应在竞得之日起40日内与出让人签订</w:t>
      </w:r>
      <w:r>
        <w:rPr>
          <w:rFonts w:hint="eastAsia" w:ascii="微软雅黑" w:hAnsi="微软雅黑" w:eastAsia="微软雅黑" w:cs="微软雅黑"/>
          <w:b w:val="0"/>
          <w:color w:val="000000"/>
          <w:kern w:val="0"/>
          <w:sz w:val="21"/>
          <w:szCs w:val="21"/>
          <w:u w:val="none"/>
          <w:bdr w:val="none" w:color="auto" w:sz="0" w:space="0"/>
          <w:lang w:val="en-US" w:eastAsia="zh-CN" w:bidi="ar"/>
        </w:rPr>
        <w:t>《国有建设用地使用权出让合同》，并按规定要求支付土地出让价款。</w:t>
      </w:r>
      <w:r>
        <w:rPr>
          <w:rFonts w:hint="default" w:ascii="仿宋_GB2312" w:hAnsi="微软雅黑" w:eastAsia="仿宋_GB2312" w:cs="仿宋_GB2312"/>
          <w:b w:val="0"/>
          <w:color w:val="000000"/>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（三）特别说明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本次网上挂牌出让公告地块的特别说明事项详见《苏州市区国有建设用地使用权网上挂牌出让须知》。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ascii="楷体_GB2312" w:hAnsi="微软雅黑" w:eastAsia="楷体_GB2312" w:cs="楷体_GB2312"/>
          <w:b w:val="0"/>
          <w:color w:val="000000"/>
          <w:kern w:val="0"/>
          <w:sz w:val="32"/>
          <w:szCs w:val="32"/>
          <w:u w:val="none"/>
          <w:bdr w:val="none" w:color="auto" w:sz="0" w:space="0"/>
          <w:lang w:val="en-US" w:eastAsia="zh-CN" w:bidi="ar"/>
        </w:rPr>
        <w:t>    </w:t>
      </w:r>
      <w:r>
        <w:rPr>
          <w:rFonts w:hint="eastAsia" w:ascii="微软雅黑" w:hAnsi="微软雅黑" w:eastAsia="微软雅黑" w:cs="微软雅黑"/>
          <w:b w:val="0"/>
          <w:color w:val="000000"/>
          <w:kern w:val="0"/>
          <w:sz w:val="21"/>
          <w:szCs w:val="21"/>
          <w:u w:val="none"/>
          <w:bdr w:val="none" w:color="auto" w:sz="0" w:space="0"/>
          <w:lang w:val="en-US" w:eastAsia="zh-CN" w:bidi="ar"/>
        </w:rPr>
        <w:t>（四）应急处置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b w:val="0"/>
          <w:color w:val="000000"/>
          <w:sz w:val="21"/>
          <w:szCs w:val="21"/>
          <w:u w:val="none"/>
        </w:rPr>
      </w:pPr>
      <w:r>
        <w:rPr>
          <w:rFonts w:hint="default" w:ascii="楷体_GB2312" w:hAnsi="微软雅黑" w:eastAsia="楷体_GB2312" w:cs="楷体_GB2312"/>
          <w:b w:val="0"/>
          <w:color w:val="000000"/>
          <w:kern w:val="0"/>
          <w:sz w:val="32"/>
          <w:szCs w:val="32"/>
          <w:u w:val="none"/>
          <w:bdr w:val="none" w:color="auto" w:sz="0" w:space="0"/>
          <w:lang w:val="en-US" w:eastAsia="zh-CN" w:bidi="ar"/>
        </w:rPr>
        <w:t>    </w:t>
      </w:r>
      <w:r>
        <w:rPr>
          <w:rFonts w:hint="eastAsia" w:ascii="微软雅黑" w:hAnsi="微软雅黑" w:eastAsia="微软雅黑" w:cs="微软雅黑"/>
          <w:b w:val="0"/>
          <w:color w:val="000000"/>
          <w:kern w:val="0"/>
          <w:sz w:val="21"/>
          <w:szCs w:val="21"/>
          <w:u w:val="none"/>
          <w:bdr w:val="none" w:color="auto" w:sz="0" w:space="0"/>
          <w:lang w:val="en-US" w:eastAsia="zh-CN" w:bidi="ar"/>
        </w:rPr>
        <w:t>网上挂牌出让过程中，因受到网络病毒、黑客入侵，或者电力传输中断、网络通讯异常、软硬件故障及不可抗力等原因，导致网上出让系统不能正常运行的，网上挂牌出让活动暂停，待故障排除后继续进行。苏州市国土资源局将在恢复网上挂牌出让前</w:t>
      </w:r>
      <w:r>
        <w:rPr>
          <w:rFonts w:hint="default" w:ascii="仿宋_GB2312" w:hAnsi="微软雅黑" w:eastAsia="仿宋_GB2312" w:cs="仿宋_GB2312"/>
          <w:b w:val="0"/>
          <w:color w:val="000000"/>
          <w:kern w:val="0"/>
          <w:sz w:val="32"/>
          <w:szCs w:val="32"/>
          <w:u w:val="none"/>
          <w:bdr w:val="none" w:color="auto" w:sz="0" w:space="0"/>
          <w:lang w:val="en-US" w:eastAsia="zh-CN" w:bidi="ar"/>
        </w:rPr>
        <w:t>24小时内按原途径发布恢复网上竞买公告，并公布相关监管部门查证的系统故障原因。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因竞买人的计算机系统遭受网络病毒、黑客入侵，或者电力传输中断、网络通讯异常、软硬件故障等原因，竞买人不能正常参与网上挂牌出让活动的，网上挂牌出让活动不因此停止。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（五）法律责任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因受到网络病毒、黑客入侵，或者电力传输中断、网络通讯异常、软硬件故障及不可抗力等原因，导致网上出让系统不能正常运行的，出让人不承担责任。因竞买人的计算机系统遭受网络病毒、黑客入侵，或者电力传输中断、网络通讯异常、软硬件故障等原因导致竞买人不能正常参与网上出让的，或者竞买人的</w:t>
      </w:r>
      <w:r>
        <w:rPr>
          <w:rFonts w:hint="default" w:ascii="仿宋_GB2312" w:hAnsi="微软雅黑" w:eastAsia="仿宋_GB2312" w:cs="仿宋_GB2312"/>
          <w:b w:val="0"/>
          <w:color w:val="000000"/>
          <w:kern w:val="0"/>
          <w:sz w:val="32"/>
          <w:szCs w:val="32"/>
          <w:u w:val="none"/>
          <w:bdr w:val="none" w:color="auto" w:sz="0" w:space="0"/>
          <w:lang w:val="en-US" w:eastAsia="zh-CN" w:bidi="ar"/>
        </w:rPr>
        <w:t>CA证书丢失或被他人冒用、盗用的，出让人不承担责任。竞得人不符合出让公告、出让须知等文件约定条件参与竞买的，竞得结果无效，造成的损失由其依法承担赔偿责任。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五、咨询及资料索取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（一）网上挂牌出让咨询及资料索取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意向竞买人或申请人如对网上挂牌出让操作方式和流程需作咨询和辅导的、需现场索取相关资料的，请与苏州市国土资源局土地利用处联系，地址：干将西路</w:t>
      </w:r>
      <w:r>
        <w:rPr>
          <w:rFonts w:hint="default" w:ascii="仿宋_GB2312" w:hAnsi="微软雅黑" w:eastAsia="仿宋_GB2312" w:cs="仿宋_GB2312"/>
          <w:b w:val="0"/>
          <w:color w:val="000000"/>
          <w:kern w:val="0"/>
          <w:sz w:val="32"/>
          <w:szCs w:val="32"/>
          <w:u w:val="none"/>
          <w:bdr w:val="none" w:color="auto" w:sz="0" w:space="0"/>
          <w:lang w:val="en-US" w:eastAsia="zh-CN" w:bidi="ar"/>
        </w:rPr>
        <w:t>1018号8楼，联系电话：0512-69320750、65167877、68633299、65290687、65336386。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（二）出让地块情况咨询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网上挂牌出让地块和相关详细情况，意向竞买人或申请人可向苏州市国土资源局咨询也可根据公告地块位置向所在行政辖区土地管理部门进行咨询，具体联系方式如下：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苏州市国土资源局</w:t>
      </w:r>
      <w:r>
        <w:rPr>
          <w:rFonts w:hint="default" w:ascii="仿宋_GB2312" w:hAnsi="微软雅黑" w:eastAsia="仿宋_GB2312" w:cs="仿宋_GB2312"/>
          <w:b w:val="0"/>
          <w:color w:val="000000"/>
          <w:kern w:val="0"/>
          <w:sz w:val="32"/>
          <w:szCs w:val="32"/>
          <w:u w:val="none"/>
          <w:bdr w:val="none" w:color="auto" w:sz="0" w:space="0"/>
          <w:lang w:val="en-US" w:eastAsia="zh-CN" w:bidi="ar"/>
        </w:rPr>
        <w:t>  </w:t>
      </w:r>
      <w:r>
        <w:rPr>
          <w:rFonts w:hint="eastAsia" w:ascii="微软雅黑" w:hAnsi="微软雅黑" w:eastAsia="微软雅黑" w:cs="微软雅黑"/>
          <w:b w:val="0"/>
          <w:color w:val="000000"/>
          <w:kern w:val="0"/>
          <w:sz w:val="21"/>
          <w:szCs w:val="21"/>
          <w:u w:val="none"/>
          <w:bdr w:val="none" w:color="auto" w:sz="0" w:space="0"/>
          <w:lang w:val="en-US" w:eastAsia="zh-CN" w:bidi="ar"/>
        </w:rPr>
        <w:t>联系人：张径</w:t>
      </w:r>
      <w:r>
        <w:rPr>
          <w:rFonts w:hint="default" w:ascii="仿宋_GB2312" w:hAnsi="微软雅黑" w:eastAsia="仿宋_GB2312" w:cs="仿宋_GB2312"/>
          <w:b w:val="0"/>
          <w:color w:val="000000"/>
          <w:kern w:val="0"/>
          <w:sz w:val="32"/>
          <w:szCs w:val="32"/>
          <w:u w:val="none"/>
          <w:bdr w:val="none" w:color="auto" w:sz="0" w:space="0"/>
          <w:lang w:val="en-US" w:eastAsia="zh-CN" w:bidi="ar"/>
        </w:rPr>
        <w:t> </w:t>
      </w:r>
      <w:r>
        <w:rPr>
          <w:rFonts w:hint="eastAsia" w:ascii="微软雅黑" w:hAnsi="微软雅黑" w:eastAsia="微软雅黑" w:cs="微软雅黑"/>
          <w:b w:val="0"/>
          <w:color w:val="000000"/>
          <w:kern w:val="0"/>
          <w:sz w:val="21"/>
          <w:szCs w:val="21"/>
          <w:u w:val="none"/>
          <w:bdr w:val="none" w:color="auto" w:sz="0" w:space="0"/>
          <w:lang w:val="en-US" w:eastAsia="zh-CN" w:bidi="ar"/>
        </w:rPr>
        <w:t>朱敏</w:t>
      </w:r>
      <w:r>
        <w:rPr>
          <w:rFonts w:hint="default" w:ascii="仿宋_GB2312" w:hAnsi="微软雅黑" w:eastAsia="仿宋_GB2312" w:cs="仿宋_GB2312"/>
          <w:b w:val="0"/>
          <w:color w:val="000000"/>
          <w:kern w:val="0"/>
          <w:sz w:val="32"/>
          <w:szCs w:val="32"/>
          <w:u w:val="none"/>
          <w:bdr w:val="none" w:color="auto" w:sz="0" w:space="0"/>
          <w:lang w:val="en-US" w:eastAsia="zh-CN" w:bidi="ar"/>
        </w:rPr>
        <w:t>  </w:t>
      </w:r>
      <w:r>
        <w:rPr>
          <w:rFonts w:hint="eastAsia" w:ascii="微软雅黑" w:hAnsi="微软雅黑" w:eastAsia="微软雅黑" w:cs="微软雅黑"/>
          <w:b w:val="0"/>
          <w:color w:val="000000"/>
          <w:kern w:val="0"/>
          <w:sz w:val="21"/>
          <w:szCs w:val="21"/>
          <w:u w:val="none"/>
          <w:bdr w:val="none" w:color="auto" w:sz="0" w:space="0"/>
          <w:lang w:val="en-US" w:eastAsia="zh-CN" w:bidi="ar"/>
        </w:rPr>
        <w:t>联系电话：</w:t>
      </w:r>
      <w:r>
        <w:rPr>
          <w:rFonts w:hint="default" w:ascii="仿宋_GB2312" w:hAnsi="微软雅黑" w:eastAsia="仿宋_GB2312" w:cs="仿宋_GB2312"/>
          <w:b w:val="0"/>
          <w:color w:val="000000"/>
          <w:kern w:val="0"/>
          <w:sz w:val="32"/>
          <w:szCs w:val="32"/>
          <w:u w:val="none"/>
          <w:bdr w:val="none" w:color="auto" w:sz="0" w:space="0"/>
          <w:lang w:val="en-US" w:eastAsia="zh-CN" w:bidi="ar"/>
        </w:rPr>
        <w:t>0512-65290687、68633299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苏州市国土资源局吴中分局</w:t>
      </w:r>
      <w:r>
        <w:rPr>
          <w:rFonts w:hint="default" w:ascii="仿宋_GB2312" w:hAnsi="微软雅黑" w:eastAsia="仿宋_GB2312" w:cs="仿宋_GB2312"/>
          <w:b w:val="0"/>
          <w:color w:val="000000"/>
          <w:kern w:val="0"/>
          <w:sz w:val="32"/>
          <w:szCs w:val="32"/>
          <w:u w:val="none"/>
          <w:bdr w:val="none" w:color="auto" w:sz="0" w:space="0"/>
          <w:lang w:val="en-US" w:eastAsia="zh-CN" w:bidi="ar"/>
        </w:rPr>
        <w:t>  </w:t>
      </w:r>
      <w:r>
        <w:rPr>
          <w:rFonts w:hint="eastAsia" w:ascii="微软雅黑" w:hAnsi="微软雅黑" w:eastAsia="微软雅黑" w:cs="微软雅黑"/>
          <w:b w:val="0"/>
          <w:color w:val="000000"/>
          <w:kern w:val="0"/>
          <w:sz w:val="21"/>
          <w:szCs w:val="21"/>
          <w:u w:val="none"/>
          <w:bdr w:val="none" w:color="auto" w:sz="0" w:space="0"/>
          <w:lang w:val="en-US" w:eastAsia="zh-CN" w:bidi="ar"/>
        </w:rPr>
        <w:t>联系人：李继</w:t>
      </w:r>
      <w:r>
        <w:rPr>
          <w:rFonts w:hint="default" w:ascii="仿宋_GB2312" w:hAnsi="微软雅黑" w:eastAsia="仿宋_GB2312" w:cs="仿宋_GB2312"/>
          <w:b w:val="0"/>
          <w:color w:val="000000"/>
          <w:kern w:val="0"/>
          <w:sz w:val="32"/>
          <w:szCs w:val="32"/>
          <w:u w:val="none"/>
          <w:bdr w:val="none" w:color="auto" w:sz="0" w:space="0"/>
          <w:lang w:val="en-US" w:eastAsia="zh-CN" w:bidi="ar"/>
        </w:rPr>
        <w:t>  </w:t>
      </w:r>
      <w:r>
        <w:rPr>
          <w:rFonts w:hint="eastAsia" w:ascii="微软雅黑" w:hAnsi="微软雅黑" w:eastAsia="微软雅黑" w:cs="微软雅黑"/>
          <w:b w:val="0"/>
          <w:color w:val="000000"/>
          <w:kern w:val="0"/>
          <w:sz w:val="21"/>
          <w:szCs w:val="21"/>
          <w:u w:val="none"/>
          <w:bdr w:val="none" w:color="auto" w:sz="0" w:space="0"/>
          <w:lang w:val="en-US" w:eastAsia="zh-CN" w:bidi="ar"/>
        </w:rPr>
        <w:t>联系电话：</w:t>
      </w:r>
      <w:r>
        <w:rPr>
          <w:rFonts w:hint="default" w:ascii="仿宋_GB2312" w:hAnsi="微软雅黑" w:eastAsia="仿宋_GB2312" w:cs="仿宋_GB2312"/>
          <w:b w:val="0"/>
          <w:color w:val="000000"/>
          <w:kern w:val="0"/>
          <w:sz w:val="32"/>
          <w:szCs w:val="32"/>
          <w:u w:val="none"/>
          <w:bdr w:val="none" w:color="auto" w:sz="0" w:space="0"/>
          <w:lang w:val="en-US" w:eastAsia="zh-CN" w:bidi="ar"/>
        </w:rPr>
        <w:t>0512-65133952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苏州市国土资源局相城分局</w:t>
      </w:r>
      <w:r>
        <w:rPr>
          <w:rFonts w:hint="default" w:ascii="仿宋_GB2312" w:hAnsi="微软雅黑" w:eastAsia="仿宋_GB2312" w:cs="仿宋_GB2312"/>
          <w:b w:val="0"/>
          <w:color w:val="000000"/>
          <w:kern w:val="0"/>
          <w:sz w:val="32"/>
          <w:szCs w:val="32"/>
          <w:u w:val="none"/>
          <w:bdr w:val="none" w:color="auto" w:sz="0" w:space="0"/>
          <w:lang w:val="en-US" w:eastAsia="zh-CN" w:bidi="ar"/>
        </w:rPr>
        <w:t>  </w:t>
      </w:r>
      <w:r>
        <w:rPr>
          <w:rFonts w:hint="eastAsia" w:ascii="微软雅黑" w:hAnsi="微软雅黑" w:eastAsia="微软雅黑" w:cs="微软雅黑"/>
          <w:b w:val="0"/>
          <w:color w:val="000000"/>
          <w:kern w:val="0"/>
          <w:sz w:val="21"/>
          <w:szCs w:val="21"/>
          <w:u w:val="none"/>
          <w:bdr w:val="none" w:color="auto" w:sz="0" w:space="0"/>
          <w:lang w:val="en-US" w:eastAsia="zh-CN" w:bidi="ar"/>
        </w:rPr>
        <w:t>联系人：胡冰</w:t>
      </w:r>
      <w:r>
        <w:rPr>
          <w:rFonts w:hint="default" w:ascii="仿宋_GB2312" w:hAnsi="微软雅黑" w:eastAsia="仿宋_GB2312" w:cs="仿宋_GB2312"/>
          <w:b w:val="0"/>
          <w:color w:val="000000"/>
          <w:kern w:val="0"/>
          <w:sz w:val="32"/>
          <w:szCs w:val="32"/>
          <w:u w:val="none"/>
          <w:bdr w:val="none" w:color="auto" w:sz="0" w:space="0"/>
          <w:lang w:val="en-US" w:eastAsia="zh-CN" w:bidi="ar"/>
        </w:rPr>
        <w:t>  </w:t>
      </w:r>
      <w:r>
        <w:rPr>
          <w:rFonts w:hint="eastAsia" w:ascii="微软雅黑" w:hAnsi="微软雅黑" w:eastAsia="微软雅黑" w:cs="微软雅黑"/>
          <w:b w:val="0"/>
          <w:color w:val="000000"/>
          <w:kern w:val="0"/>
          <w:sz w:val="21"/>
          <w:szCs w:val="21"/>
          <w:u w:val="none"/>
          <w:bdr w:val="none" w:color="auto" w:sz="0" w:space="0"/>
          <w:lang w:val="en-US" w:eastAsia="zh-CN" w:bidi="ar"/>
        </w:rPr>
        <w:t>联系电话：</w:t>
      </w:r>
      <w:r>
        <w:rPr>
          <w:rFonts w:hint="default" w:ascii="仿宋_GB2312" w:hAnsi="微软雅黑" w:eastAsia="仿宋_GB2312" w:cs="仿宋_GB2312"/>
          <w:b w:val="0"/>
          <w:color w:val="000000"/>
          <w:kern w:val="0"/>
          <w:sz w:val="32"/>
          <w:szCs w:val="32"/>
          <w:u w:val="none"/>
          <w:bdr w:val="none" w:color="auto" w:sz="0" w:space="0"/>
          <w:lang w:val="en-US" w:eastAsia="zh-CN" w:bidi="ar"/>
        </w:rPr>
        <w:t>0512-66181270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苏州工业园区土地储备中心</w:t>
      </w:r>
      <w:r>
        <w:rPr>
          <w:rFonts w:hint="default" w:ascii="仿宋_GB2312" w:hAnsi="微软雅黑" w:eastAsia="仿宋_GB2312" w:cs="仿宋_GB2312"/>
          <w:b w:val="0"/>
          <w:color w:val="000000"/>
          <w:kern w:val="0"/>
          <w:sz w:val="32"/>
          <w:szCs w:val="32"/>
          <w:u w:val="none"/>
          <w:bdr w:val="none" w:color="auto" w:sz="0" w:space="0"/>
          <w:lang w:val="en-US" w:eastAsia="zh-CN" w:bidi="ar"/>
        </w:rPr>
        <w:t>  </w:t>
      </w:r>
      <w:r>
        <w:rPr>
          <w:rFonts w:hint="eastAsia" w:ascii="微软雅黑" w:hAnsi="微软雅黑" w:eastAsia="微软雅黑" w:cs="微软雅黑"/>
          <w:b w:val="0"/>
          <w:color w:val="000000"/>
          <w:kern w:val="0"/>
          <w:sz w:val="21"/>
          <w:szCs w:val="21"/>
          <w:u w:val="none"/>
          <w:bdr w:val="none" w:color="auto" w:sz="0" w:space="0"/>
          <w:lang w:val="en-US" w:eastAsia="zh-CN" w:bidi="ar"/>
        </w:rPr>
        <w:t>联系人：周志祥</w:t>
      </w:r>
      <w:r>
        <w:rPr>
          <w:rFonts w:hint="default" w:ascii="仿宋_GB2312" w:hAnsi="微软雅黑" w:eastAsia="仿宋_GB2312" w:cs="仿宋_GB2312"/>
          <w:b w:val="0"/>
          <w:color w:val="000000"/>
          <w:kern w:val="0"/>
          <w:sz w:val="32"/>
          <w:szCs w:val="32"/>
          <w:u w:val="none"/>
          <w:bdr w:val="none" w:color="auto" w:sz="0" w:space="0"/>
          <w:lang w:val="en-US" w:eastAsia="zh-CN" w:bidi="ar"/>
        </w:rPr>
        <w:t>  </w:t>
      </w:r>
      <w:r>
        <w:rPr>
          <w:rFonts w:hint="eastAsia" w:ascii="微软雅黑" w:hAnsi="微软雅黑" w:eastAsia="微软雅黑" w:cs="微软雅黑"/>
          <w:b w:val="0"/>
          <w:color w:val="000000"/>
          <w:kern w:val="0"/>
          <w:sz w:val="21"/>
          <w:szCs w:val="21"/>
          <w:u w:val="none"/>
          <w:bdr w:val="none" w:color="auto" w:sz="0" w:space="0"/>
          <w:lang w:val="en-US" w:eastAsia="zh-CN" w:bidi="ar"/>
        </w:rPr>
        <w:t>联系电话：</w:t>
      </w:r>
      <w:r>
        <w:rPr>
          <w:rFonts w:hint="default" w:ascii="仿宋_GB2312" w:hAnsi="微软雅黑" w:eastAsia="仿宋_GB2312" w:cs="仿宋_GB2312"/>
          <w:b w:val="0"/>
          <w:color w:val="000000"/>
          <w:kern w:val="0"/>
          <w:sz w:val="32"/>
          <w:szCs w:val="32"/>
          <w:u w:val="none"/>
          <w:bdr w:val="none" w:color="auto" w:sz="0" w:space="0"/>
          <w:lang w:val="en-US" w:eastAsia="zh-CN" w:bidi="ar"/>
        </w:rPr>
        <w:t>0512-</w:t>
      </w:r>
      <w:r>
        <w:rPr>
          <w:rFonts w:hint="default" w:ascii="Times New Roman" w:hAnsi="Times New Roman" w:eastAsia="微软雅黑" w:cs="Times New Roman"/>
          <w:b w:val="0"/>
          <w:color w:val="000000"/>
          <w:kern w:val="0"/>
          <w:sz w:val="21"/>
          <w:szCs w:val="21"/>
          <w:u w:val="none"/>
          <w:bdr w:val="none" w:color="auto" w:sz="0" w:space="0"/>
          <w:lang w:val="en-US" w:eastAsia="zh-CN" w:bidi="ar"/>
        </w:rPr>
        <w:t> </w:t>
      </w:r>
      <w:r>
        <w:rPr>
          <w:rFonts w:hint="default" w:ascii="仿宋_GB2312" w:hAnsi="微软雅黑" w:eastAsia="仿宋_GB2312" w:cs="仿宋_GB2312"/>
          <w:b w:val="0"/>
          <w:color w:val="000000"/>
          <w:kern w:val="0"/>
          <w:sz w:val="32"/>
          <w:szCs w:val="32"/>
          <w:u w:val="none"/>
          <w:bdr w:val="none" w:color="auto" w:sz="0" w:space="0"/>
          <w:lang w:val="en-US" w:eastAsia="zh-CN" w:bidi="ar"/>
        </w:rPr>
        <w:t>66680516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苏州市国土资源局高新区（虎丘）分局</w:t>
      </w:r>
      <w:r>
        <w:rPr>
          <w:rFonts w:hint="default" w:ascii="仿宋_GB2312" w:hAnsi="微软雅黑" w:eastAsia="仿宋_GB2312" w:cs="仿宋_GB2312"/>
          <w:b w:val="0"/>
          <w:color w:val="000000"/>
          <w:kern w:val="0"/>
          <w:sz w:val="32"/>
          <w:szCs w:val="32"/>
          <w:u w:val="none"/>
          <w:bdr w:val="none" w:color="auto" w:sz="0" w:space="0"/>
          <w:lang w:val="en-US" w:eastAsia="zh-CN" w:bidi="ar"/>
        </w:rPr>
        <w:t>  </w:t>
      </w:r>
      <w:r>
        <w:rPr>
          <w:rFonts w:hint="eastAsia" w:ascii="微软雅黑" w:hAnsi="微软雅黑" w:eastAsia="微软雅黑" w:cs="微软雅黑"/>
          <w:b w:val="0"/>
          <w:color w:val="000000"/>
          <w:kern w:val="0"/>
          <w:sz w:val="21"/>
          <w:szCs w:val="21"/>
          <w:u w:val="none"/>
          <w:bdr w:val="none" w:color="auto" w:sz="0" w:space="0"/>
          <w:lang w:val="en-US" w:eastAsia="zh-CN" w:bidi="ar"/>
        </w:rPr>
        <w:t>联系人：胡蔚</w:t>
      </w:r>
      <w:r>
        <w:rPr>
          <w:rFonts w:hint="default" w:ascii="仿宋_GB2312" w:hAnsi="微软雅黑" w:eastAsia="仿宋_GB2312" w:cs="仿宋_GB2312"/>
          <w:b w:val="0"/>
          <w:color w:val="000000"/>
          <w:kern w:val="0"/>
          <w:sz w:val="32"/>
          <w:szCs w:val="32"/>
          <w:u w:val="none"/>
          <w:bdr w:val="none" w:color="auto" w:sz="0" w:space="0"/>
          <w:lang w:val="en-US" w:eastAsia="zh-CN" w:bidi="ar"/>
        </w:rPr>
        <w:t>  </w:t>
      </w:r>
      <w:r>
        <w:rPr>
          <w:rFonts w:hint="eastAsia" w:ascii="微软雅黑" w:hAnsi="微软雅黑" w:eastAsia="微软雅黑" w:cs="微软雅黑"/>
          <w:b w:val="0"/>
          <w:color w:val="000000"/>
          <w:kern w:val="0"/>
          <w:sz w:val="21"/>
          <w:szCs w:val="21"/>
          <w:u w:val="none"/>
          <w:bdr w:val="none" w:color="auto" w:sz="0" w:space="0"/>
          <w:lang w:val="en-US" w:eastAsia="zh-CN" w:bidi="ar"/>
        </w:rPr>
        <w:t>联系电话：</w:t>
      </w:r>
      <w:r>
        <w:rPr>
          <w:rFonts w:hint="default" w:ascii="仿宋_GB2312" w:hAnsi="微软雅黑" w:eastAsia="仿宋_GB2312" w:cs="仿宋_GB2312"/>
          <w:b w:val="0"/>
          <w:color w:val="000000"/>
          <w:kern w:val="0"/>
          <w:sz w:val="32"/>
          <w:szCs w:val="32"/>
          <w:u w:val="none"/>
          <w:bdr w:val="none" w:color="auto" w:sz="0" w:space="0"/>
          <w:lang w:val="en-US" w:eastAsia="zh-CN" w:bidi="ar"/>
        </w:rPr>
        <w:t>0512-</w:t>
      </w:r>
      <w:r>
        <w:rPr>
          <w:rFonts w:hint="default" w:ascii="Times New Roman" w:hAnsi="Times New Roman" w:eastAsia="微软雅黑" w:cs="Times New Roman"/>
          <w:b w:val="0"/>
          <w:color w:val="000000"/>
          <w:kern w:val="0"/>
          <w:sz w:val="21"/>
          <w:szCs w:val="21"/>
          <w:u w:val="none"/>
          <w:bdr w:val="none" w:color="auto" w:sz="0" w:space="0"/>
          <w:lang w:val="en-US" w:eastAsia="zh-CN" w:bidi="ar"/>
        </w:rPr>
        <w:t> </w:t>
      </w:r>
      <w:r>
        <w:rPr>
          <w:rFonts w:hint="default" w:ascii="仿宋_GB2312" w:hAnsi="微软雅黑" w:eastAsia="仿宋_GB2312" w:cs="仿宋_GB2312"/>
          <w:b w:val="0"/>
          <w:color w:val="000000"/>
          <w:kern w:val="0"/>
          <w:sz w:val="32"/>
          <w:szCs w:val="32"/>
          <w:u w:val="none"/>
          <w:bdr w:val="none" w:color="auto" w:sz="0" w:space="0"/>
          <w:lang w:val="en-US" w:eastAsia="zh-CN" w:bidi="ar"/>
        </w:rPr>
        <w:t>69205878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苏州市国土资源局网址：</w:t>
      </w:r>
      <w:r>
        <w:rPr>
          <w:rFonts w:hint="default" w:ascii="仿宋_GB2312" w:hAnsi="微软雅黑" w:eastAsia="仿宋_GB2312" w:cs="仿宋_GB2312"/>
          <w:b w:val="0"/>
          <w:color w:val="000000"/>
          <w:kern w:val="0"/>
          <w:sz w:val="32"/>
          <w:szCs w:val="32"/>
          <w:u w:val="none"/>
          <w:bdr w:val="none" w:color="auto" w:sz="0" w:space="0"/>
          <w:lang w:val="en-US" w:eastAsia="zh-CN" w:bidi="ar"/>
        </w:rPr>
        <w:t>http://www.jsmlr.gov.cn/sz/</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苏州市国土资源局国有建设用地使用权网上出让系统网址：</w:t>
      </w:r>
      <w:r>
        <w:rPr>
          <w:rFonts w:hint="default" w:ascii="仿宋_GB2312" w:hAnsi="微软雅黑" w:eastAsia="仿宋_GB2312" w:cs="仿宋_GB2312"/>
          <w:b w:val="0"/>
          <w:color w:val="000000"/>
          <w:kern w:val="0"/>
          <w:sz w:val="32"/>
          <w:szCs w:val="32"/>
          <w:u w:val="none"/>
          <w:bdr w:val="none" w:color="auto" w:sz="0" w:space="0"/>
          <w:lang w:val="en-US" w:eastAsia="zh-CN" w:bidi="ar"/>
        </w:rPr>
        <w:t> http://221.224.76.18/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b w:val="0"/>
          <w:color w:val="000000"/>
          <w:sz w:val="21"/>
          <w:szCs w:val="21"/>
          <w:u w:val="none"/>
        </w:rPr>
      </w:pPr>
      <w:r>
        <w:rPr>
          <w:rFonts w:hint="eastAsia" w:ascii="微软雅黑" w:hAnsi="微软雅黑" w:eastAsia="微软雅黑" w:cs="微软雅黑"/>
          <w:b w:val="0"/>
          <w:color w:val="000000"/>
          <w:kern w:val="0"/>
          <w:sz w:val="21"/>
          <w:szCs w:val="21"/>
          <w:u w:val="none"/>
          <w:bdr w:val="none" w:color="auto" w:sz="0" w:space="0"/>
          <w:lang w:val="en-US" w:eastAsia="zh-CN" w:bidi="ar"/>
        </w:rPr>
        <w:t>特此公告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958" w:right="0"/>
        <w:jc w:val="center"/>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                                                      </w:t>
      </w:r>
      <w:r>
        <w:rPr>
          <w:rFonts w:hint="eastAsia" w:ascii="微软雅黑" w:hAnsi="微软雅黑" w:eastAsia="微软雅黑" w:cs="微软雅黑"/>
          <w:b w:val="0"/>
          <w:color w:val="000000"/>
          <w:kern w:val="0"/>
          <w:sz w:val="21"/>
          <w:szCs w:val="21"/>
          <w:u w:val="none"/>
          <w:bdr w:val="none" w:color="auto" w:sz="0" w:space="0"/>
          <w:lang w:val="en-US" w:eastAsia="zh-CN" w:bidi="ar"/>
        </w:rPr>
        <w:t>苏州市国土资源局</w:t>
      </w:r>
      <w:r>
        <w:rPr>
          <w:rFonts w:hint="default" w:ascii="仿宋_GB2312" w:hAnsi="微软雅黑" w:eastAsia="仿宋_GB2312" w:cs="仿宋_GB2312"/>
          <w:b w:val="0"/>
          <w:color w:val="000000"/>
          <w:kern w:val="0"/>
          <w:sz w:val="32"/>
          <w:szCs w:val="32"/>
          <w:u w:val="non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b w:val="0"/>
          <w:color w:val="000000"/>
          <w:sz w:val="21"/>
          <w:szCs w:val="21"/>
          <w:u w:val="none"/>
        </w:rPr>
      </w:pPr>
      <w:r>
        <w:rPr>
          <w:rFonts w:hint="default" w:ascii="仿宋_GB2312" w:hAnsi="微软雅黑" w:eastAsia="仿宋_GB2312" w:cs="仿宋_GB2312"/>
          <w:b w:val="0"/>
          <w:color w:val="000000"/>
          <w:kern w:val="0"/>
          <w:sz w:val="32"/>
          <w:szCs w:val="32"/>
          <w:u w:val="none"/>
          <w:bdr w:val="none" w:color="auto" w:sz="0" w:space="0"/>
          <w:lang w:val="en-US" w:eastAsia="zh-CN" w:bidi="ar"/>
        </w:rPr>
        <w:t>2018年11月27</w:t>
      </w:r>
      <w:r>
        <w:rPr>
          <w:rFonts w:hint="eastAsia" w:ascii="微软雅黑" w:hAnsi="微软雅黑" w:eastAsia="微软雅黑" w:cs="微软雅黑"/>
          <w:b w:val="0"/>
          <w:color w:val="000000"/>
          <w:kern w:val="0"/>
          <w:sz w:val="21"/>
          <w:szCs w:val="21"/>
          <w:u w:val="none"/>
          <w:bdr w:val="none" w:color="auto" w:sz="0" w:space="0"/>
          <w:lang w:val="en-US" w:eastAsia="zh-CN" w:bidi="ar"/>
        </w:rPr>
        <w:t>日</w:t>
      </w:r>
      <w:r>
        <w:rPr>
          <w:rFonts w:hint="default" w:ascii="仿宋_GB2312" w:hAnsi="微软雅黑" w:eastAsia="仿宋_GB2312" w:cs="仿宋_GB2312"/>
          <w:b w:val="0"/>
          <w:color w:val="000000"/>
          <w:kern w:val="0"/>
          <w:sz w:val="32"/>
          <w:szCs w:val="32"/>
          <w:u w:val="none"/>
          <w:bdr w:val="none" w:color="auto" w:sz="0" w:space="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9A3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2018-11-28T01:50:47Z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