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3E" w:rsidRPr="00B0493E" w:rsidRDefault="00B0493E" w:rsidP="00B0493E">
      <w:pPr>
        <w:widowControl/>
        <w:spacing w:after="150" w:line="432" w:lineRule="auto"/>
        <w:jc w:val="center"/>
        <w:outlineLvl w:val="0"/>
        <w:rPr>
          <w:rFonts w:ascii="微软雅黑" w:eastAsia="黑体" w:hAnsi="微软雅黑" w:cs="宋体"/>
          <w:b/>
          <w:color w:val="676767"/>
          <w:kern w:val="0"/>
          <w:sz w:val="36"/>
          <w:szCs w:val="36"/>
        </w:rPr>
      </w:pPr>
      <w:r w:rsidRPr="00B0493E">
        <w:rPr>
          <w:rFonts w:ascii="宋体" w:eastAsia="黑体" w:hAnsi="宋体" w:cs="宋体" w:hint="eastAsia"/>
          <w:b/>
          <w:color w:val="676767"/>
          <w:kern w:val="0"/>
          <w:sz w:val="36"/>
          <w:szCs w:val="36"/>
        </w:rPr>
        <w:t>上海市国有建设用地使用权出让公告</w:t>
      </w:r>
    </w:p>
    <w:p w:rsidR="00B0493E" w:rsidRPr="00B0493E" w:rsidRDefault="00B0493E" w:rsidP="00B0493E">
      <w:pPr>
        <w:widowControl/>
        <w:spacing w:after="150" w:line="432" w:lineRule="auto"/>
        <w:jc w:val="center"/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</w:pPr>
      <w:proofErr w:type="gramStart"/>
      <w:r w:rsidRPr="00B0493E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沪告字</w:t>
      </w:r>
      <w:proofErr w:type="gramEnd"/>
      <w:r w:rsidRPr="00B0493E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（2019）第</w:t>
      </w:r>
      <w:bookmarkStart w:id="0" w:name="tdscWebOfficeNoticeStat_newNoticeNo"/>
      <w:r w:rsidRPr="00B0493E">
        <w:rPr>
          <w:rFonts w:ascii="仿宋_GB2312" w:eastAsia="仿宋_GB2312" w:hAnsi="微软雅黑" w:cs="宋体" w:hint="eastAsia"/>
          <w:b/>
          <w:color w:val="636363"/>
          <w:kern w:val="0"/>
          <w:sz w:val="30"/>
          <w:szCs w:val="30"/>
        </w:rPr>
        <w:t>061</w:t>
      </w:r>
      <w:bookmarkEnd w:id="0"/>
      <w:r w:rsidRPr="00B0493E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号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根据国家有关法律、法规和《招标拍卖挂牌出让国有建设用地使用权规定》《上海市土地使用权出让办法》等规定，现发布涉及</w:t>
      </w:r>
      <w:bookmarkStart w:id="1" w:name="tdscWebOfficeNoticeStat_districtList_1"/>
      <w:proofErr w:type="gramStart"/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崇明区</w:t>
      </w:r>
      <w:bookmarkEnd w:id="1"/>
      <w:proofErr w:type="gramEnd"/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 xml:space="preserve"> </w:t>
      </w:r>
      <w:bookmarkStart w:id="2" w:name="tdscWebOfficeNoticeStat_districtCount"/>
      <w:r w:rsidRPr="00B0493E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2"/>
      <w:r w:rsidRPr="00B0493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个地区共计</w:t>
      </w:r>
      <w:bookmarkStart w:id="3" w:name="tdscWebOfficeNoticeStat_blockCount"/>
      <w:r w:rsidRPr="00B0493E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3"/>
      <w:r w:rsidRPr="00B0493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幅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国有建设用地使用权的公告。现将有关情况公告如下：</w:t>
      </w:r>
    </w:p>
    <w:p w:rsidR="00B0493E" w:rsidRPr="00B0493E" w:rsidRDefault="00B0493E" w:rsidP="00B0493E">
      <w:pPr>
        <w:widowControl/>
        <w:tabs>
          <w:tab w:val="num" w:pos="1280"/>
        </w:tabs>
        <w:spacing w:after="150" w:line="360" w:lineRule="auto"/>
        <w:ind w:left="2030" w:hanging="72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仿宋_GB2312" w:hint="eastAsia"/>
          <w:color w:val="676767"/>
          <w:kern w:val="0"/>
          <w:sz w:val="28"/>
          <w:szCs w:val="28"/>
        </w:rPr>
        <w:t>一、</w:t>
      </w:r>
      <w:r w:rsidRPr="00B0493E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 xml:space="preserve">  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497"/>
        <w:gridCol w:w="2127"/>
        <w:gridCol w:w="1242"/>
        <w:gridCol w:w="1432"/>
        <w:gridCol w:w="1581"/>
        <w:gridCol w:w="1596"/>
        <w:gridCol w:w="887"/>
        <w:gridCol w:w="1308"/>
        <w:tblGridChange w:id="4">
          <w:tblGrid>
            <w:gridCol w:w="108"/>
            <w:gridCol w:w="900"/>
            <w:gridCol w:w="117"/>
            <w:gridCol w:w="1080"/>
            <w:gridCol w:w="417"/>
            <w:gridCol w:w="1284"/>
            <w:gridCol w:w="843"/>
            <w:gridCol w:w="150"/>
            <w:gridCol w:w="1092"/>
            <w:gridCol w:w="53"/>
            <w:gridCol w:w="1264"/>
            <w:gridCol w:w="115"/>
            <w:gridCol w:w="1581"/>
            <w:gridCol w:w="289"/>
            <w:gridCol w:w="709"/>
            <w:gridCol w:w="1046"/>
            <w:gridCol w:w="439"/>
            <w:gridCol w:w="1308"/>
          </w:tblGrid>
        </w:tblGridChange>
      </w:tblGrid>
      <w:tr w:rsidR="00B0493E" w:rsidRPr="00B0493E" w:rsidTr="00B0493E">
        <w:trPr>
          <w:cantSplit/>
          <w:trHeight w:val="28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bookmarkStart w:id="5" w:name="tdscBlockAppView__list"/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line="432" w:lineRule="auto"/>
              <w:ind w:leftChars="-40" w:left="-84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四至</w:t>
            </w:r>
          </w:p>
          <w:p w:rsidR="00B0493E" w:rsidRPr="00B0493E" w:rsidRDefault="00B0493E" w:rsidP="00B0493E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范围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用途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土地总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出让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（平方米)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规划指标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保证金（万元）</w:t>
            </w:r>
          </w:p>
        </w:tc>
      </w:tr>
      <w:tr w:rsidR="00B0493E" w:rsidRPr="00B0493E" w:rsidTr="00B0493E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7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容积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建筑</w:t>
            </w:r>
          </w:p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密度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B0493E" w:rsidRPr="00B0493E" w:rsidTr="00B0493E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18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Administrator" w:date="2011-03-17T17:10:00Z"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36363"/>
                <w:kern w:val="0"/>
                <w:sz w:val="20"/>
                <w:szCs w:val="20"/>
              </w:rPr>
              <w:t>201906101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Administrator" w:date="2011-03-17T17:10:00Z">
              <w:tcPr>
                <w:tcW w:w="11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proofErr w:type="gramStart"/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崇明区</w:t>
            </w:r>
            <w:proofErr w:type="gramEnd"/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陈家镇CMS15-0308单元C-4(滨江13号)地块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Administrator" w:date="2011-03-17T17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ind w:leftChars="-51" w:lef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东至:涨水洪,南至:揽海路,西至:C-3地块（滨江14号）,北至:规划一路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Administrator" w:date="2011-03-17T17:10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居住用地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Administrator" w:date="2011-03-17T17:10:00Z">
              <w:tcPr>
                <w:tcW w:w="1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129904.30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Administrator" w:date="2011-03-17T17:10:00Z"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108387.80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Administrator" w:date="2011-03-17T17:10:00Z"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B0493E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19,510.00</w:t>
            </w:r>
          </w:p>
        </w:tc>
      </w:tr>
    </w:tbl>
    <w:bookmarkEnd w:id="5"/>
    <w:p w:rsidR="00B0493E" w:rsidRPr="00B0493E" w:rsidRDefault="00B0493E" w:rsidP="00B0493E">
      <w:pPr>
        <w:widowControl/>
        <w:spacing w:after="150" w:line="432" w:lineRule="auto"/>
        <w:jc w:val="left"/>
        <w:rPr>
          <w:rFonts w:ascii="微软雅黑" w:eastAsia="仿宋_GB2312" w:hAnsi="微软雅黑" w:cs="宋体" w:hint="eastAsia"/>
          <w:color w:val="676767"/>
          <w:kern w:val="0"/>
          <w:sz w:val="24"/>
          <w:szCs w:val="24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4"/>
          <w:szCs w:val="24"/>
        </w:rPr>
        <w:t>备注：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lastRenderedPageBreak/>
        <w:t>地块交易活动时间安排参见</w:t>
      </w: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http://www.shgtj.gov.cn/</w:t>
      </w: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网站和</w:t>
      </w: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http://www.shtdsc.com</w:t>
      </w: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网站发布的出让地块进度安排表，具体以地块出让文件为准。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根据地块出让须知的规定，至2019年06月04日16时00分时，仅有一家申请人提交了申请的，承办人可将挂牌截止时间调整为2019年06月06日14时00分，相关调整通知将于2019年06月05日在http://www.shgtj.gov.cn/网站和http://www.shtdsc.com网站发布，敬请注意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三、申请资格及具体交易要求</w:t>
      </w:r>
    </w:p>
    <w:p w:rsidR="00B0493E" w:rsidRPr="00B0493E" w:rsidRDefault="00B0493E" w:rsidP="00B0493E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中华人民共和国境内外的自然人、法人和其他组织，除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1"/>
        </w:rPr>
        <w:t>法律、法规另有规定外，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均可申请参加。具体竞买资格及要求以地块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为准。</w:t>
      </w:r>
    </w:p>
    <w:p w:rsidR="00B0493E" w:rsidRPr="00B0493E" w:rsidRDefault="00B0493E" w:rsidP="00B0493E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本次国有建设用地使用权出让的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地块详情及其具体交易要求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详见地块出让文件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(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出让须知，出让</w:t>
      </w:r>
      <w:proofErr w:type="gramStart"/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以及附录文件等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)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。申请人可自</w:t>
      </w:r>
      <w:bookmarkStart w:id="28" w:name="tdscWebOfficeNoticeStat_fileStartDate"/>
      <w:r w:rsidRPr="00B0493E">
        <w:rPr>
          <w:rFonts w:ascii="微软雅黑" w:eastAsia="仿宋_GB2312" w:hAnsi="微软雅黑" w:cs="宋体" w:hint="eastAsia"/>
          <w:color w:val="636363"/>
          <w:kern w:val="0"/>
          <w:sz w:val="28"/>
          <w:szCs w:val="28"/>
          <w:u w:val="single"/>
        </w:rPr>
        <w:t>2019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年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05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月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10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日</w:t>
      </w:r>
      <w:bookmarkEnd w:id="28"/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在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http://www.shgtj.gov.cn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网站和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http://www.shtdsc.com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网站下载，具体地址详见网站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“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地块信息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―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相关文档下载</w:t>
      </w:r>
      <w:r w:rsidRPr="00B0493E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”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四、交易结果发布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交易结束后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10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个工作日内，上述地块的交易结果将在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市土地交易市场、各区土地交易受理窗口和http://www.shgtj.gov.cn/网站、http://www.shtdsc.com网站发布。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五、其他事项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lastRenderedPageBreak/>
        <w:t>通过资格审核的有效申请人数为三人及以上的，本地块采用有竞价招标方式出让，有效申请人即为“投标人”，有效投标文件若达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3-10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份的，则排名顺序前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2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位投标人为入围竞标人；若达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11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份及以上的，则排名顺序前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位投标人为入围竞标人，具体详见本公告各地块出让须知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附件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</w:t>
      </w: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第二条第（三）款的相关内容。</w:t>
      </w:r>
      <w:r w:rsidRPr="00B0493E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通过资格审核的有效申请人数不足三人的，本地块直接采用挂牌方式出让，有效申请人即为“竞买人”。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六、联系方式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联系地址：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浦东新区南泉北路201号5楼；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dstrike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联系电话：</w:t>
      </w:r>
      <w:r w:rsidRPr="00B0493E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86-21-58823624</w:t>
      </w:r>
      <w:r w:rsidRPr="00B0493E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B0493E" w:rsidRPr="00B0493E" w:rsidRDefault="00B0493E" w:rsidP="00B0493E">
      <w:pPr>
        <w:widowControl/>
        <w:spacing w:after="150" w:line="360" w:lineRule="auto"/>
        <w:ind w:firstLineChars="200" w:firstLine="562"/>
        <w:jc w:val="righ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B0493E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上海市土地交易市场</w:t>
      </w:r>
    </w:p>
    <w:p w:rsidR="00B0493E" w:rsidRPr="00B0493E" w:rsidRDefault="00B0493E" w:rsidP="00B0493E">
      <w:pPr>
        <w:widowControl/>
        <w:spacing w:after="150" w:line="360" w:lineRule="auto"/>
        <w:jc w:val="right"/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</w:pPr>
      <w:bookmarkStart w:id="29" w:name="tdscWebOfficeNoticeStat_noticeDate"/>
      <w:r w:rsidRPr="00B0493E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2019年05月10日</w:t>
      </w:r>
      <w:bookmarkEnd w:id="29"/>
    </w:p>
    <w:p w:rsidR="00B0493E" w:rsidRPr="00B0493E" w:rsidRDefault="00B0493E" w:rsidP="00B0493E">
      <w:pPr>
        <w:widowControl/>
        <w:spacing w:line="360" w:lineRule="auto"/>
        <w:jc w:val="left"/>
        <w:rPr>
          <w:rFonts w:ascii="仿宋_GB2312" w:eastAsia="仿宋_GB2312" w:hAnsi="宋体" w:cs="Times New Roman"/>
          <w:b/>
          <w:color w:val="333333"/>
          <w:sz w:val="28"/>
          <w:szCs w:val="28"/>
        </w:rPr>
        <w:sectPr w:rsidR="00B0493E" w:rsidRPr="00B0493E">
          <w:pgSz w:w="12240" w:h="15840"/>
          <w:pgMar w:top="1440" w:right="1800" w:bottom="1440" w:left="1800" w:header="720" w:footer="720" w:gutter="0"/>
          <w:cols w:space="720"/>
        </w:sectPr>
      </w:pPr>
    </w:p>
    <w:p w:rsidR="00B0493E" w:rsidRPr="00B0493E" w:rsidRDefault="00B0493E" w:rsidP="00B0493E">
      <w:pPr>
        <w:widowControl/>
        <w:spacing w:after="150" w:line="360" w:lineRule="auto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B0493E"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  <w:lastRenderedPageBreak/>
        <w:t>附表</w:t>
      </w:r>
    </w:p>
    <w:p w:rsidR="00B0493E" w:rsidRPr="00B0493E" w:rsidRDefault="00B0493E" w:rsidP="00B0493E">
      <w:pPr>
        <w:widowControl/>
        <w:spacing w:after="150" w:line="432" w:lineRule="auto"/>
        <w:jc w:val="center"/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</w:pPr>
      <w:r w:rsidRPr="00B0493E"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  <w:t>市、区土地交易受理窗口一览表</w:t>
      </w:r>
    </w:p>
    <w:tbl>
      <w:tblPr>
        <w:tblW w:w="8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2"/>
        <w:gridCol w:w="4093"/>
        <w:gridCol w:w="3054"/>
      </w:tblGrid>
      <w:tr w:rsidR="00B0493E" w:rsidRPr="00B0493E" w:rsidTr="00B0493E">
        <w:trPr>
          <w:trHeight w:val="448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B0493E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单位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B0493E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B0493E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联系电话</w:t>
            </w:r>
          </w:p>
        </w:tc>
      </w:tr>
      <w:tr w:rsidR="00B0493E" w:rsidRPr="00B0493E" w:rsidTr="00B0493E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上海市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南泉北路201号5楼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58823624</w:t>
            </w:r>
          </w:p>
        </w:tc>
      </w:tr>
      <w:tr w:rsidR="00B0493E" w:rsidRPr="00B0493E" w:rsidTr="00B0493E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黄浦区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鲁班路158号210室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53832922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静安区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秣</w:t>
            </w:r>
            <w:proofErr w:type="gramEnd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陵路38号静安区行政服务中心3楼C02窗口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56520535</w:t>
            </w:r>
          </w:p>
        </w:tc>
      </w:tr>
      <w:tr w:rsidR="00B0493E" w:rsidRPr="00B0493E" w:rsidTr="00B0493E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徐汇区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上中路466号1楼12号窗口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24099788-1012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长宁区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长宁路1436号行政服务中心31号窗口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22253031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普陀区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中山北路2930号12号窗口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32244888-2128</w:t>
            </w:r>
          </w:p>
        </w:tc>
      </w:tr>
      <w:tr w:rsidR="00B0493E" w:rsidRPr="00B0493E" w:rsidTr="00B0493E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虹口区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水电路1576号310室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25099070-2317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杨浦区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怀德路600号2楼</w:t>
            </w:r>
            <w:proofErr w:type="gramStart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规</w:t>
            </w:r>
            <w:proofErr w:type="gramEnd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土局窗口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25031053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宝山区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宝杨路</w:t>
            </w:r>
            <w:proofErr w:type="gramEnd"/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1369号3楼327室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66739577-3051/2022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闵行区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水清路159号2楼6号窗口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64141662</w:t>
            </w:r>
          </w:p>
        </w:tc>
      </w:tr>
      <w:tr w:rsidR="00B0493E" w:rsidRPr="00B0493E" w:rsidTr="00B0493E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嘉定区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金沙路68号A02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59529421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松江区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乐都西路867-871号松江行政服务中心4号楼3楼196号窗口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57744399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lastRenderedPageBreak/>
              <w:t>金山区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龙山路555号2楼C211窗口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57922277/57922314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25" w:line="293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奉贤区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B0493E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南桥镇望园南路1529</w:t>
            </w:r>
            <w:proofErr w:type="gramStart"/>
            <w:r w:rsidRPr="00B0493E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弄行政</w:t>
            </w:r>
            <w:proofErr w:type="gramEnd"/>
            <w:r w:rsidRPr="00B0493E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服务中心C幢1楼C123窗口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B0493E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67137626</w:t>
            </w:r>
          </w:p>
        </w:tc>
      </w:tr>
      <w:tr w:rsidR="00B0493E" w:rsidRPr="00B0493E" w:rsidTr="00B0493E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青浦区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城中西路121号房地产交易中心1楼13号窗口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69723050</w:t>
            </w:r>
          </w:p>
        </w:tc>
      </w:tr>
      <w:tr w:rsidR="00B0493E" w:rsidRPr="00B0493E" w:rsidTr="00B0493E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崇明区</w:t>
            </w:r>
            <w:proofErr w:type="gram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城桥镇翠竹路1501号2楼83号窗口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top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69696862</w:t>
            </w:r>
          </w:p>
        </w:tc>
      </w:tr>
      <w:tr w:rsidR="00B0493E" w:rsidRPr="00B0493E" w:rsidTr="00B0493E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浦东新区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南泉北路201号1706室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493E" w:rsidRPr="00B0493E" w:rsidRDefault="00B0493E" w:rsidP="00B0493E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B0493E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58372771，8881688-1711</w:t>
            </w:r>
          </w:p>
        </w:tc>
      </w:tr>
    </w:tbl>
    <w:p w:rsidR="00B960C8" w:rsidRPr="00B0493E" w:rsidRDefault="00B960C8" w:rsidP="00B0493E">
      <w:bookmarkStart w:id="30" w:name="_GoBack"/>
      <w:bookmarkEnd w:id="30"/>
    </w:p>
    <w:sectPr w:rsidR="00B960C8" w:rsidRPr="00B0493E" w:rsidSect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83" w:rsidRDefault="006C2583" w:rsidP="00A84450">
      <w:r>
        <w:separator/>
      </w:r>
    </w:p>
  </w:endnote>
  <w:endnote w:type="continuationSeparator" w:id="0">
    <w:p w:rsidR="006C2583" w:rsidRDefault="006C2583" w:rsidP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83" w:rsidRDefault="006C2583" w:rsidP="00A84450">
      <w:r>
        <w:separator/>
      </w:r>
    </w:p>
  </w:footnote>
  <w:footnote w:type="continuationSeparator" w:id="0">
    <w:p w:rsidR="006C2583" w:rsidRDefault="006C2583" w:rsidP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753"/>
    <w:multiLevelType w:val="multilevel"/>
    <w:tmpl w:val="84E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52A3"/>
    <w:multiLevelType w:val="multilevel"/>
    <w:tmpl w:val="DC7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42486"/>
    <w:multiLevelType w:val="multilevel"/>
    <w:tmpl w:val="C19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50"/>
    <w:rsid w:val="00004F80"/>
    <w:rsid w:val="00033644"/>
    <w:rsid w:val="00060618"/>
    <w:rsid w:val="000637A2"/>
    <w:rsid w:val="00085D7F"/>
    <w:rsid w:val="00094E20"/>
    <w:rsid w:val="000A3B78"/>
    <w:rsid w:val="000A5BC0"/>
    <w:rsid w:val="000C02D9"/>
    <w:rsid w:val="000D2A0A"/>
    <w:rsid w:val="000E234E"/>
    <w:rsid w:val="00101556"/>
    <w:rsid w:val="00105613"/>
    <w:rsid w:val="001148CA"/>
    <w:rsid w:val="00120031"/>
    <w:rsid w:val="0012218E"/>
    <w:rsid w:val="00134E2A"/>
    <w:rsid w:val="00140442"/>
    <w:rsid w:val="00156550"/>
    <w:rsid w:val="00176485"/>
    <w:rsid w:val="001912BD"/>
    <w:rsid w:val="00197EC9"/>
    <w:rsid w:val="001A299C"/>
    <w:rsid w:val="001A3A95"/>
    <w:rsid w:val="001B367C"/>
    <w:rsid w:val="001B60FC"/>
    <w:rsid w:val="001C5E7B"/>
    <w:rsid w:val="001D72CB"/>
    <w:rsid w:val="001E2906"/>
    <w:rsid w:val="001E6D52"/>
    <w:rsid w:val="001E7C07"/>
    <w:rsid w:val="001F5DCA"/>
    <w:rsid w:val="001F76D1"/>
    <w:rsid w:val="00221584"/>
    <w:rsid w:val="00235364"/>
    <w:rsid w:val="00247C80"/>
    <w:rsid w:val="002565F1"/>
    <w:rsid w:val="00261E5F"/>
    <w:rsid w:val="00275C28"/>
    <w:rsid w:val="00281195"/>
    <w:rsid w:val="00282169"/>
    <w:rsid w:val="00282680"/>
    <w:rsid w:val="00283E38"/>
    <w:rsid w:val="00283EEC"/>
    <w:rsid w:val="0028415A"/>
    <w:rsid w:val="002875DA"/>
    <w:rsid w:val="002B74E4"/>
    <w:rsid w:val="002C19A9"/>
    <w:rsid w:val="002D6BDA"/>
    <w:rsid w:val="002E2F6E"/>
    <w:rsid w:val="002E7A9E"/>
    <w:rsid w:val="002F2674"/>
    <w:rsid w:val="002F733E"/>
    <w:rsid w:val="00310903"/>
    <w:rsid w:val="003312C5"/>
    <w:rsid w:val="00336078"/>
    <w:rsid w:val="003448E8"/>
    <w:rsid w:val="00346175"/>
    <w:rsid w:val="00353562"/>
    <w:rsid w:val="003546BB"/>
    <w:rsid w:val="003570F0"/>
    <w:rsid w:val="003704DA"/>
    <w:rsid w:val="00381406"/>
    <w:rsid w:val="003A4A59"/>
    <w:rsid w:val="003B1DDC"/>
    <w:rsid w:val="003B4A22"/>
    <w:rsid w:val="003E2051"/>
    <w:rsid w:val="003E2842"/>
    <w:rsid w:val="003E44D8"/>
    <w:rsid w:val="003F2E0D"/>
    <w:rsid w:val="00400A54"/>
    <w:rsid w:val="00415219"/>
    <w:rsid w:val="00416ABB"/>
    <w:rsid w:val="00435332"/>
    <w:rsid w:val="0044070E"/>
    <w:rsid w:val="00467FAC"/>
    <w:rsid w:val="004843C5"/>
    <w:rsid w:val="00491FA1"/>
    <w:rsid w:val="004A59B8"/>
    <w:rsid w:val="004B29C1"/>
    <w:rsid w:val="004B7FC2"/>
    <w:rsid w:val="004C0763"/>
    <w:rsid w:val="004C4366"/>
    <w:rsid w:val="004D2216"/>
    <w:rsid w:val="004D61C3"/>
    <w:rsid w:val="004E522E"/>
    <w:rsid w:val="004F030F"/>
    <w:rsid w:val="004F6924"/>
    <w:rsid w:val="004F6B1B"/>
    <w:rsid w:val="0053174F"/>
    <w:rsid w:val="00536E59"/>
    <w:rsid w:val="0054566F"/>
    <w:rsid w:val="00551371"/>
    <w:rsid w:val="00582C68"/>
    <w:rsid w:val="0059752F"/>
    <w:rsid w:val="00597F5B"/>
    <w:rsid w:val="005A0E44"/>
    <w:rsid w:val="005B698E"/>
    <w:rsid w:val="005D0EE8"/>
    <w:rsid w:val="005F1C85"/>
    <w:rsid w:val="006429E3"/>
    <w:rsid w:val="006429E5"/>
    <w:rsid w:val="00673B47"/>
    <w:rsid w:val="00685822"/>
    <w:rsid w:val="006A364D"/>
    <w:rsid w:val="006A5A75"/>
    <w:rsid w:val="006B20F0"/>
    <w:rsid w:val="006B573F"/>
    <w:rsid w:val="006C2583"/>
    <w:rsid w:val="007068C4"/>
    <w:rsid w:val="00712157"/>
    <w:rsid w:val="00716972"/>
    <w:rsid w:val="00723CE7"/>
    <w:rsid w:val="00724998"/>
    <w:rsid w:val="007271E4"/>
    <w:rsid w:val="00731EE4"/>
    <w:rsid w:val="00732BCD"/>
    <w:rsid w:val="007445FD"/>
    <w:rsid w:val="00760084"/>
    <w:rsid w:val="0076014F"/>
    <w:rsid w:val="00764F25"/>
    <w:rsid w:val="007667E5"/>
    <w:rsid w:val="0077487A"/>
    <w:rsid w:val="00784797"/>
    <w:rsid w:val="00795110"/>
    <w:rsid w:val="007B2640"/>
    <w:rsid w:val="007B36F1"/>
    <w:rsid w:val="007C5D50"/>
    <w:rsid w:val="007F7AC2"/>
    <w:rsid w:val="00801111"/>
    <w:rsid w:val="00802675"/>
    <w:rsid w:val="00814889"/>
    <w:rsid w:val="008230C5"/>
    <w:rsid w:val="00834653"/>
    <w:rsid w:val="008428CD"/>
    <w:rsid w:val="00871378"/>
    <w:rsid w:val="00874399"/>
    <w:rsid w:val="00877D31"/>
    <w:rsid w:val="008836F0"/>
    <w:rsid w:val="008B5307"/>
    <w:rsid w:val="008C387E"/>
    <w:rsid w:val="008D57A3"/>
    <w:rsid w:val="008D6C7B"/>
    <w:rsid w:val="008E35AB"/>
    <w:rsid w:val="008E3D09"/>
    <w:rsid w:val="008F1B07"/>
    <w:rsid w:val="008F55D3"/>
    <w:rsid w:val="00913348"/>
    <w:rsid w:val="00925B4D"/>
    <w:rsid w:val="00925FB3"/>
    <w:rsid w:val="00931986"/>
    <w:rsid w:val="009376B2"/>
    <w:rsid w:val="00940A69"/>
    <w:rsid w:val="00951F75"/>
    <w:rsid w:val="009968B6"/>
    <w:rsid w:val="009B2F8C"/>
    <w:rsid w:val="009B42C3"/>
    <w:rsid w:val="009C09CF"/>
    <w:rsid w:val="009C6D31"/>
    <w:rsid w:val="009E26AB"/>
    <w:rsid w:val="009E4554"/>
    <w:rsid w:val="009F2A19"/>
    <w:rsid w:val="00A04656"/>
    <w:rsid w:val="00A114C8"/>
    <w:rsid w:val="00A27A5A"/>
    <w:rsid w:val="00A352A0"/>
    <w:rsid w:val="00A4013F"/>
    <w:rsid w:val="00A53BF7"/>
    <w:rsid w:val="00A7698F"/>
    <w:rsid w:val="00A84450"/>
    <w:rsid w:val="00AA1E8C"/>
    <w:rsid w:val="00AC73D1"/>
    <w:rsid w:val="00AD2BCC"/>
    <w:rsid w:val="00AE6031"/>
    <w:rsid w:val="00B0443C"/>
    <w:rsid w:val="00B0493E"/>
    <w:rsid w:val="00B14453"/>
    <w:rsid w:val="00B17EC1"/>
    <w:rsid w:val="00B406EA"/>
    <w:rsid w:val="00B41551"/>
    <w:rsid w:val="00B41F47"/>
    <w:rsid w:val="00B50CE0"/>
    <w:rsid w:val="00B56782"/>
    <w:rsid w:val="00B71252"/>
    <w:rsid w:val="00B93E85"/>
    <w:rsid w:val="00B960C8"/>
    <w:rsid w:val="00BA3A8B"/>
    <w:rsid w:val="00BC1D60"/>
    <w:rsid w:val="00BD3049"/>
    <w:rsid w:val="00BE1951"/>
    <w:rsid w:val="00BF4C25"/>
    <w:rsid w:val="00C04FAB"/>
    <w:rsid w:val="00C12C7B"/>
    <w:rsid w:val="00C14300"/>
    <w:rsid w:val="00C1672C"/>
    <w:rsid w:val="00C22D13"/>
    <w:rsid w:val="00C2620B"/>
    <w:rsid w:val="00C30010"/>
    <w:rsid w:val="00C32725"/>
    <w:rsid w:val="00C42D16"/>
    <w:rsid w:val="00C44DE3"/>
    <w:rsid w:val="00C63AD2"/>
    <w:rsid w:val="00C70861"/>
    <w:rsid w:val="00C77C25"/>
    <w:rsid w:val="00CA4ADF"/>
    <w:rsid w:val="00CB35A3"/>
    <w:rsid w:val="00CF2F93"/>
    <w:rsid w:val="00D1336F"/>
    <w:rsid w:val="00D150D7"/>
    <w:rsid w:val="00D15D8D"/>
    <w:rsid w:val="00D24812"/>
    <w:rsid w:val="00D24C14"/>
    <w:rsid w:val="00D30FC9"/>
    <w:rsid w:val="00D4510A"/>
    <w:rsid w:val="00D54A5A"/>
    <w:rsid w:val="00D72EC9"/>
    <w:rsid w:val="00D909DE"/>
    <w:rsid w:val="00DB2921"/>
    <w:rsid w:val="00DB48BA"/>
    <w:rsid w:val="00DC0AA0"/>
    <w:rsid w:val="00DC5A92"/>
    <w:rsid w:val="00DC7F69"/>
    <w:rsid w:val="00DE54B1"/>
    <w:rsid w:val="00DF44C8"/>
    <w:rsid w:val="00E00B51"/>
    <w:rsid w:val="00E04009"/>
    <w:rsid w:val="00E05D91"/>
    <w:rsid w:val="00E10D28"/>
    <w:rsid w:val="00E21F76"/>
    <w:rsid w:val="00E30AEA"/>
    <w:rsid w:val="00E30E04"/>
    <w:rsid w:val="00E324EE"/>
    <w:rsid w:val="00E45B85"/>
    <w:rsid w:val="00E57E21"/>
    <w:rsid w:val="00E63834"/>
    <w:rsid w:val="00E900B6"/>
    <w:rsid w:val="00E92181"/>
    <w:rsid w:val="00EA0D72"/>
    <w:rsid w:val="00EA3ED7"/>
    <w:rsid w:val="00EA59EB"/>
    <w:rsid w:val="00EC07EB"/>
    <w:rsid w:val="00EC4DAD"/>
    <w:rsid w:val="00ED3239"/>
    <w:rsid w:val="00ED32EE"/>
    <w:rsid w:val="00EE5EB0"/>
    <w:rsid w:val="00F1041E"/>
    <w:rsid w:val="00F35EE3"/>
    <w:rsid w:val="00F3702B"/>
    <w:rsid w:val="00F54C3F"/>
    <w:rsid w:val="00F60A74"/>
    <w:rsid w:val="00F64C5B"/>
    <w:rsid w:val="00F7139C"/>
    <w:rsid w:val="00F743E6"/>
    <w:rsid w:val="00F82001"/>
    <w:rsid w:val="00F868ED"/>
    <w:rsid w:val="00F95D36"/>
    <w:rsid w:val="00F96285"/>
    <w:rsid w:val="00F97ECD"/>
    <w:rsid w:val="00FB1659"/>
    <w:rsid w:val="00FD3C3D"/>
    <w:rsid w:val="00FE0126"/>
    <w:rsid w:val="00FE4BA1"/>
    <w:rsid w:val="00FE7C0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9A9A-CBE6-44B4-B2FD-BE576E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0"/>
    <w:rPr>
      <w:sz w:val="18"/>
      <w:szCs w:val="18"/>
    </w:rPr>
  </w:style>
  <w:style w:type="character" w:customStyle="1" w:styleId="grame">
    <w:name w:val="grame"/>
    <w:basedOn w:val="a0"/>
    <w:rsid w:val="00A84450"/>
  </w:style>
  <w:style w:type="character" w:customStyle="1" w:styleId="apple-converted-space">
    <w:name w:val="apple-converted-space"/>
    <w:basedOn w:val="a0"/>
    <w:rsid w:val="00A84450"/>
  </w:style>
  <w:style w:type="paragraph" w:styleId="a7">
    <w:name w:val="Normal (Web)"/>
    <w:basedOn w:val="a"/>
    <w:uiPriority w:val="99"/>
    <w:unhideWhenUsed/>
    <w:rsid w:val="00A8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450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015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semiHidden/>
    <w:rsid w:val="003448E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6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5531091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45065880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2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6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042311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37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1255283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5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3641550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31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4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4708888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220884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9458612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3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779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4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4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9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92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7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33183467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1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502203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71148852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0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6559283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5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54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2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29448022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9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6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704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88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07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209</cp:revision>
  <dcterms:created xsi:type="dcterms:W3CDTF">2017-08-25T07:34:00Z</dcterms:created>
  <dcterms:modified xsi:type="dcterms:W3CDTF">2019-05-10T09:53:00Z</dcterms:modified>
</cp:coreProperties>
</file>