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9D" w:rsidRPr="004E409D" w:rsidRDefault="004E409D" w:rsidP="004E409D">
      <w:pPr>
        <w:widowControl/>
        <w:shd w:val="clear" w:color="auto" w:fill="FFFFFF"/>
        <w:jc w:val="center"/>
        <w:rPr>
          <w:rFonts w:ascii="微软雅黑" w:eastAsia="微软雅黑" w:hAnsi="微软雅黑" w:cs="Helvetica"/>
          <w:color w:val="333333"/>
          <w:kern w:val="0"/>
          <w:szCs w:val="21"/>
        </w:rPr>
      </w:pPr>
      <w:r w:rsidRPr="004E409D">
        <w:rPr>
          <w:rFonts w:ascii="微软雅黑" w:eastAsia="微软雅黑" w:hAnsi="微软雅黑" w:cs="Helvetica" w:hint="eastAsia"/>
          <w:color w:val="333333"/>
          <w:kern w:val="0"/>
          <w:szCs w:val="21"/>
        </w:rPr>
        <w:t>成都市拍卖出让国有建设用地使用权公告(成公</w:t>
      </w:r>
      <w:proofErr w:type="gramStart"/>
      <w:r w:rsidRPr="004E409D">
        <w:rPr>
          <w:rFonts w:ascii="微软雅黑" w:eastAsia="微软雅黑" w:hAnsi="微软雅黑" w:cs="Helvetica" w:hint="eastAsia"/>
          <w:color w:val="333333"/>
          <w:kern w:val="0"/>
          <w:szCs w:val="21"/>
        </w:rPr>
        <w:t>资土拍告</w:t>
      </w:r>
      <w:proofErr w:type="gramEnd"/>
      <w:r w:rsidRPr="004E409D">
        <w:rPr>
          <w:rFonts w:ascii="微软雅黑" w:eastAsia="微软雅黑" w:hAnsi="微软雅黑" w:cs="Helvetica" w:hint="eastAsia"/>
          <w:color w:val="333333"/>
          <w:kern w:val="0"/>
          <w:szCs w:val="21"/>
        </w:rPr>
        <w:t>(2019)32号)</w:t>
      </w:r>
    </w:p>
    <w:p w:rsidR="004E409D" w:rsidRPr="004E409D" w:rsidRDefault="004E409D" w:rsidP="004E409D">
      <w:pPr>
        <w:widowControl/>
        <w:shd w:val="clear" w:color="auto" w:fill="FFFFFF"/>
        <w:jc w:val="center"/>
        <w:rPr>
          <w:rFonts w:ascii="微软雅黑" w:eastAsia="微软雅黑" w:hAnsi="微软雅黑" w:cs="Helvetica" w:hint="eastAsia"/>
          <w:color w:val="333333"/>
          <w:kern w:val="0"/>
          <w:szCs w:val="21"/>
        </w:rPr>
      </w:pPr>
      <w:r w:rsidRPr="004E409D">
        <w:rPr>
          <w:rFonts w:ascii="微软雅黑" w:eastAsia="微软雅黑" w:hAnsi="微软雅黑" w:cs="Helvetica" w:hint="eastAsia"/>
          <w:color w:val="333333"/>
          <w:kern w:val="0"/>
          <w:szCs w:val="21"/>
        </w:rPr>
        <w:t>日期：2019-06-21</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24"/>
          <w:szCs w:val="24"/>
        </w:rPr>
        <w:t xml:space="preserve">       </w:t>
      </w:r>
      <w:r w:rsidRPr="004E409D">
        <w:rPr>
          <w:rFonts w:ascii="宋体" w:eastAsia="宋体" w:hAnsi="宋体" w:cs="宋体" w:hint="eastAsia"/>
          <w:kern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w:t>
      </w:r>
      <w:r w:rsidRPr="004E409D">
        <w:rPr>
          <w:rFonts w:ascii="宋体" w:eastAsia="宋体" w:hAnsi="宋体" w:cs="宋体" w:hint="eastAsia"/>
          <w:color w:val="000000"/>
          <w:kern w:val="0"/>
          <w:sz w:val="24"/>
          <w:szCs w:val="24"/>
        </w:rPr>
        <w:t xml:space="preserve">，以拍卖方式组织出让 2 </w:t>
      </w:r>
      <w:proofErr w:type="gramStart"/>
      <w:r w:rsidRPr="004E409D">
        <w:rPr>
          <w:rFonts w:ascii="宋体" w:eastAsia="宋体" w:hAnsi="宋体" w:cs="宋体" w:hint="eastAsia"/>
          <w:color w:val="000000"/>
          <w:kern w:val="0"/>
          <w:sz w:val="24"/>
          <w:szCs w:val="24"/>
        </w:rPr>
        <w:t>宗国有</w:t>
      </w:r>
      <w:proofErr w:type="gramEnd"/>
      <w:r w:rsidRPr="004E409D">
        <w:rPr>
          <w:rFonts w:ascii="宋体" w:eastAsia="宋体" w:hAnsi="宋体" w:cs="宋体" w:hint="eastAsia"/>
          <w:color w:val="000000"/>
          <w:kern w:val="0"/>
          <w:sz w:val="24"/>
          <w:szCs w:val="24"/>
        </w:rPr>
        <w:t>建设用地使用权。现就有关事项公告如下：</w:t>
      </w:r>
    </w:p>
    <w:p w:rsidR="004E409D" w:rsidRPr="004E409D" w:rsidRDefault="004E409D" w:rsidP="004E409D">
      <w:pPr>
        <w:widowControl/>
        <w:spacing w:before="100" w:beforeAutospacing="1" w:after="100" w:afterAutospacing="1" w:line="285" w:lineRule="atLeast"/>
        <w:ind w:firstLine="4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94"/>
        <w:gridCol w:w="1483"/>
        <w:gridCol w:w="439"/>
        <w:gridCol w:w="765"/>
        <w:gridCol w:w="439"/>
        <w:gridCol w:w="439"/>
        <w:gridCol w:w="512"/>
        <w:gridCol w:w="439"/>
        <w:gridCol w:w="765"/>
        <w:gridCol w:w="560"/>
        <w:gridCol w:w="584"/>
        <w:gridCol w:w="584"/>
        <w:gridCol w:w="692"/>
        <w:gridCol w:w="295"/>
      </w:tblGrid>
      <w:tr w:rsidR="004E409D" w:rsidRPr="004E409D" w:rsidTr="004E409D">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拍卖出</w:t>
            </w:r>
          </w:p>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jc w:val="left"/>
              <w:rPr>
                <w:rFonts w:ascii="宋体" w:eastAsia="宋体" w:hAnsi="宋体" w:cs="宋体"/>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出让人</w:t>
            </w:r>
          </w:p>
        </w:tc>
      </w:tr>
      <w:tr w:rsidR="004E409D" w:rsidRPr="004E409D" w:rsidTr="004E409D">
        <w:tc>
          <w:tcPr>
            <w:tcW w:w="0" w:type="auto"/>
            <w:vMerge/>
            <w:tcBorders>
              <w:top w:val="single" w:sz="6" w:space="0" w:color="auto"/>
              <w:left w:val="single" w:sz="6" w:space="0" w:color="auto"/>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计入容积率总建</w:t>
            </w:r>
          </w:p>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筑面积</w:t>
            </w:r>
            <w:r w:rsidRPr="004E409D">
              <w:rPr>
                <w:rFonts w:ascii="Times New Roman" w:eastAsia="宋体" w:hAnsi="Times New Roman" w:cs="Times New Roman"/>
                <w:color w:val="000000"/>
                <w:kern w:val="0"/>
                <w:sz w:val="18"/>
                <w:szCs w:val="18"/>
              </w:rPr>
              <w:t>/</w:t>
            </w:r>
            <w:r w:rsidRPr="004E409D">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规划用地</w:t>
            </w:r>
          </w:p>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持证准用</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面积</w:t>
            </w:r>
            <w:r w:rsidRPr="004E409D">
              <w:rPr>
                <w:rFonts w:ascii="Times New Roman" w:eastAsia="宋体" w:hAnsi="Times New Roman" w:cs="Times New Roman"/>
                <w:color w:val="000000"/>
                <w:kern w:val="0"/>
                <w:sz w:val="18"/>
                <w:szCs w:val="18"/>
              </w:rPr>
              <w:t>(</w:t>
            </w:r>
            <w:r w:rsidRPr="004E409D">
              <w:rPr>
                <w:rFonts w:ascii="宋体" w:eastAsia="宋体" w:hAnsi="宋体" w:cs="宋体" w:hint="eastAsia"/>
                <w:color w:val="000000"/>
                <w:kern w:val="0"/>
                <w:sz w:val="18"/>
                <w:szCs w:val="18"/>
              </w:rPr>
              <w:t>亩</w:t>
            </w:r>
            <w:r w:rsidRPr="004E409D">
              <w:rPr>
                <w:rFonts w:ascii="Times New Roman" w:eastAsia="宋体" w:hAnsi="Times New Roman" w:cs="Times New Roman"/>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r>
      <w:tr w:rsidR="004E409D" w:rsidRPr="004E409D" w:rsidTr="004E409D">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WH07(211/251):2019-021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武侯</w:t>
            </w:r>
            <w:proofErr w:type="gramStart"/>
            <w:r w:rsidRPr="004E409D">
              <w:rPr>
                <w:rFonts w:ascii="宋体" w:eastAsia="宋体" w:hAnsi="宋体" w:cs="宋体" w:hint="eastAsia"/>
                <w:color w:val="000000"/>
                <w:kern w:val="0"/>
                <w:sz w:val="18"/>
                <w:szCs w:val="18"/>
              </w:rPr>
              <w:t>区簇桥</w:t>
            </w:r>
            <w:proofErr w:type="gramEnd"/>
            <w:r w:rsidRPr="004E409D">
              <w:rPr>
                <w:rFonts w:ascii="宋体" w:eastAsia="宋体" w:hAnsi="宋体" w:cs="宋体" w:hint="eastAsia"/>
                <w:color w:val="000000"/>
                <w:kern w:val="0"/>
                <w:sz w:val="18"/>
                <w:szCs w:val="18"/>
              </w:rPr>
              <w:t>街道办事处七里村</w:t>
            </w:r>
            <w:r w:rsidRPr="004E409D">
              <w:rPr>
                <w:rFonts w:ascii="Times New Roman" w:eastAsia="宋体" w:hAnsi="Times New Roman" w:cs="Times New Roman"/>
                <w:color w:val="000000"/>
                <w:kern w:val="0"/>
                <w:sz w:val="18"/>
                <w:szCs w:val="18"/>
              </w:rPr>
              <w:t>5</w:t>
            </w:r>
            <w:r w:rsidRPr="004E409D">
              <w:rPr>
                <w:rFonts w:ascii="宋体" w:eastAsia="宋体" w:hAnsi="宋体" w:cs="宋体" w:hint="eastAsia"/>
                <w:color w:val="000000"/>
                <w:kern w:val="0"/>
                <w:sz w:val="18"/>
                <w:szCs w:val="18"/>
              </w:rPr>
              <w:t>、</w:t>
            </w:r>
            <w:r w:rsidRPr="004E409D">
              <w:rPr>
                <w:rFonts w:ascii="Times New Roman" w:eastAsia="宋体" w:hAnsi="Times New Roman" w:cs="Times New Roman"/>
                <w:color w:val="000000"/>
                <w:kern w:val="0"/>
                <w:sz w:val="18"/>
                <w:szCs w:val="18"/>
              </w:rPr>
              <w:t>6</w:t>
            </w:r>
            <w:r w:rsidRPr="004E409D">
              <w:rPr>
                <w:rFonts w:ascii="宋体" w:eastAsia="宋体" w:hAnsi="宋体" w:cs="宋体" w:hint="eastAsia"/>
                <w:color w:val="000000"/>
                <w:kern w:val="0"/>
                <w:sz w:val="18"/>
                <w:szCs w:val="18"/>
              </w:rPr>
              <w:t>、</w:t>
            </w:r>
            <w:r w:rsidRPr="004E409D">
              <w:rPr>
                <w:rFonts w:ascii="Times New Roman" w:eastAsia="宋体" w:hAnsi="Times New Roman" w:cs="Times New Roman"/>
                <w:color w:val="000000"/>
                <w:kern w:val="0"/>
                <w:sz w:val="18"/>
                <w:szCs w:val="18"/>
              </w:rPr>
              <w:t>8</w:t>
            </w:r>
            <w:r w:rsidRPr="004E409D">
              <w:rPr>
                <w:rFonts w:ascii="宋体" w:eastAsia="宋体" w:hAnsi="宋体" w:cs="宋体" w:hint="eastAsia"/>
                <w:color w:val="000000"/>
                <w:kern w:val="0"/>
                <w:sz w:val="18"/>
                <w:szCs w:val="18"/>
              </w:rPr>
              <w:t>组，</w:t>
            </w:r>
            <w:proofErr w:type="gramStart"/>
            <w:r w:rsidRPr="004E409D">
              <w:rPr>
                <w:rFonts w:ascii="宋体" w:eastAsia="宋体" w:hAnsi="宋体" w:cs="宋体" w:hint="eastAsia"/>
                <w:color w:val="000000"/>
                <w:kern w:val="0"/>
                <w:sz w:val="18"/>
                <w:szCs w:val="18"/>
              </w:rPr>
              <w:t>簇锦</w:t>
            </w:r>
            <w:r w:rsidRPr="004E409D">
              <w:rPr>
                <w:rFonts w:ascii="宋体" w:eastAsia="宋体" w:hAnsi="宋体" w:cs="宋体" w:hint="eastAsia"/>
                <w:color w:val="000000"/>
                <w:kern w:val="0"/>
                <w:sz w:val="18"/>
                <w:szCs w:val="18"/>
              </w:rPr>
              <w:lastRenderedPageBreak/>
              <w:t>街道办事处铁佛村</w:t>
            </w:r>
            <w:r w:rsidRPr="004E409D">
              <w:rPr>
                <w:rFonts w:ascii="Times New Roman" w:eastAsia="宋体" w:hAnsi="Times New Roman" w:cs="Times New Roman"/>
                <w:color w:val="000000"/>
                <w:kern w:val="0"/>
                <w:sz w:val="18"/>
                <w:szCs w:val="18"/>
              </w:rPr>
              <w:t>7</w:t>
            </w:r>
            <w:r w:rsidRPr="004E409D">
              <w:rPr>
                <w:rFonts w:ascii="宋体" w:eastAsia="宋体" w:hAnsi="宋体" w:cs="宋体" w:hint="eastAsia"/>
                <w:color w:val="000000"/>
                <w:kern w:val="0"/>
                <w:sz w:val="18"/>
                <w:szCs w:val="18"/>
              </w:rPr>
              <w:t>组</w:t>
            </w:r>
            <w:proofErr w:type="gramEnd"/>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lastRenderedPageBreak/>
              <w:t>137686.85</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合</w:t>
            </w:r>
            <w:r w:rsidRPr="004E409D">
              <w:rPr>
                <w:rFonts w:ascii="Times New Roman" w:eastAsia="宋体" w:hAnsi="Times New Roman" w:cs="Times New Roman"/>
                <w:color w:val="000000"/>
                <w:kern w:val="0"/>
                <w:sz w:val="18"/>
                <w:szCs w:val="18"/>
              </w:rPr>
              <w:t>206.5303</w:t>
            </w:r>
            <w:r w:rsidRPr="004E409D">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住宅用地、商服用地</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住宅用地</w:t>
            </w:r>
            <w:r w:rsidRPr="004E409D">
              <w:rPr>
                <w:rFonts w:ascii="Times New Roman" w:eastAsia="宋体" w:hAnsi="Times New Roman" w:cs="Times New Roman"/>
                <w:color w:val="000000"/>
                <w:kern w:val="0"/>
                <w:sz w:val="18"/>
                <w:szCs w:val="18"/>
              </w:rPr>
              <w:t>70</w:t>
            </w:r>
            <w:r w:rsidRPr="004E409D">
              <w:rPr>
                <w:rFonts w:ascii="宋体" w:eastAsia="宋体" w:hAnsi="宋体" w:cs="宋体" w:hint="eastAsia"/>
                <w:color w:val="000000"/>
                <w:kern w:val="0"/>
                <w:sz w:val="18"/>
                <w:szCs w:val="18"/>
              </w:rPr>
              <w:t>年、商业用地</w:t>
            </w:r>
            <w:r w:rsidRPr="004E409D">
              <w:rPr>
                <w:rFonts w:ascii="Times New Roman" w:eastAsia="宋体" w:hAnsi="Times New Roman" w:cs="Times New Roman"/>
                <w:color w:val="000000"/>
                <w:kern w:val="0"/>
                <w:sz w:val="18"/>
                <w:szCs w:val="18"/>
              </w:rPr>
              <w:lastRenderedPageBreak/>
              <w:t>40</w:t>
            </w:r>
            <w:r w:rsidRPr="004E409D">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lastRenderedPageBreak/>
              <w:t>楼面地价：</w:t>
            </w:r>
            <w:r w:rsidRPr="004E409D">
              <w:rPr>
                <w:rFonts w:ascii="Times New Roman" w:eastAsia="宋体" w:hAnsi="Times New Roman" w:cs="Times New Roman"/>
                <w:color w:val="000000"/>
                <w:kern w:val="0"/>
                <w:sz w:val="18"/>
                <w:szCs w:val="18"/>
              </w:rPr>
              <w:t>6594</w:t>
            </w:r>
            <w:r w:rsidRPr="004E409D">
              <w:rPr>
                <w:rFonts w:ascii="宋体" w:eastAsia="宋体" w:hAnsi="宋体" w:cs="宋体" w:hint="eastAsia"/>
                <w:color w:val="000000"/>
                <w:kern w:val="0"/>
                <w:sz w:val="18"/>
                <w:szCs w:val="18"/>
              </w:rPr>
              <w:t>元</w:t>
            </w:r>
            <w:r w:rsidRPr="004E409D">
              <w:rPr>
                <w:rFonts w:ascii="Times New Roman" w:eastAsia="宋体" w:hAnsi="Times New Roman" w:cs="Times New Roman"/>
                <w:color w:val="000000"/>
                <w:kern w:val="0"/>
                <w:sz w:val="18"/>
                <w:szCs w:val="18"/>
              </w:rPr>
              <w:t>/</w:t>
            </w:r>
            <w:r w:rsidRPr="004E409D">
              <w:rPr>
                <w:rFonts w:ascii="宋体" w:eastAsia="宋体" w:hAnsi="宋体" w:cs="宋体" w:hint="eastAsia"/>
                <w:color w:val="000000"/>
                <w:kern w:val="0"/>
                <w:sz w:val="18"/>
                <w:szCs w:val="18"/>
              </w:rPr>
              <w:t>平方米</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47289</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4E409D" w:rsidRPr="004E409D" w:rsidRDefault="004E409D" w:rsidP="004E409D">
            <w:pPr>
              <w:widowControl/>
              <w:spacing w:before="100" w:beforeAutospacing="1" w:after="100" w:afterAutospacing="1" w:line="285" w:lineRule="atLeast"/>
              <w:jc w:val="center"/>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2019</w:t>
            </w:r>
            <w:r w:rsidRPr="004E409D">
              <w:rPr>
                <w:rFonts w:ascii="宋体" w:eastAsia="宋体" w:hAnsi="宋体" w:cs="宋体" w:hint="eastAsia"/>
                <w:color w:val="000000"/>
                <w:kern w:val="0"/>
                <w:sz w:val="18"/>
                <w:szCs w:val="18"/>
              </w:rPr>
              <w:t>年</w:t>
            </w:r>
            <w:r w:rsidRPr="004E409D">
              <w:rPr>
                <w:rFonts w:ascii="Times New Roman" w:eastAsia="宋体" w:hAnsi="Times New Roman" w:cs="Times New Roman"/>
                <w:color w:val="000000"/>
                <w:kern w:val="0"/>
                <w:sz w:val="18"/>
                <w:szCs w:val="18"/>
              </w:rPr>
              <w:t>07</w:t>
            </w:r>
            <w:r w:rsidRPr="004E409D">
              <w:rPr>
                <w:rFonts w:ascii="宋体" w:eastAsia="宋体" w:hAnsi="宋体" w:cs="宋体" w:hint="eastAsia"/>
                <w:color w:val="000000"/>
                <w:kern w:val="0"/>
                <w:sz w:val="18"/>
                <w:szCs w:val="18"/>
              </w:rPr>
              <w:t>月</w:t>
            </w:r>
            <w:r w:rsidRPr="004E409D">
              <w:rPr>
                <w:rFonts w:ascii="Times New Roman" w:eastAsia="宋体" w:hAnsi="Times New Roman" w:cs="Times New Roman"/>
                <w:color w:val="000000"/>
                <w:kern w:val="0"/>
                <w:sz w:val="18"/>
                <w:szCs w:val="18"/>
              </w:rPr>
              <w:t>11</w:t>
            </w:r>
            <w:r w:rsidRPr="004E409D">
              <w:rPr>
                <w:rFonts w:ascii="宋体" w:eastAsia="宋体" w:hAnsi="宋体" w:cs="宋体" w:hint="eastAsia"/>
                <w:color w:val="000000"/>
                <w:kern w:val="0"/>
                <w:sz w:val="18"/>
                <w:szCs w:val="18"/>
              </w:rPr>
              <w:t>日</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计入容积率的总建筑面积不大于</w:t>
            </w:r>
            <w:r w:rsidRPr="004E409D">
              <w:rPr>
                <w:rFonts w:ascii="Times New Roman" w:eastAsia="宋体" w:hAnsi="Times New Roman" w:cs="Times New Roman"/>
                <w:color w:val="000000"/>
                <w:kern w:val="0"/>
                <w:sz w:val="18"/>
                <w:szCs w:val="18"/>
              </w:rPr>
              <w:t>358575</w:t>
            </w:r>
            <w:r w:rsidRPr="004E409D">
              <w:rPr>
                <w:rFonts w:ascii="宋体" w:eastAsia="宋体" w:hAnsi="宋体" w:cs="宋体" w:hint="eastAsia"/>
                <w:color w:val="000000"/>
                <w:kern w:val="0"/>
                <w:sz w:val="18"/>
                <w:szCs w:val="18"/>
              </w:rPr>
              <w:t>平方米，其中：</w:t>
            </w:r>
          </w:p>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①地块（商业服务业设施用地）计入容积率的总建筑面积不大于</w:t>
            </w:r>
            <w:r w:rsidRPr="004E409D">
              <w:rPr>
                <w:rFonts w:ascii="Times New Roman" w:eastAsia="宋体" w:hAnsi="Times New Roman" w:cs="Times New Roman"/>
                <w:color w:val="000000"/>
                <w:kern w:val="0"/>
                <w:sz w:val="18"/>
                <w:szCs w:val="18"/>
              </w:rPr>
              <w:t>69411</w:t>
            </w:r>
            <w:r w:rsidRPr="004E409D">
              <w:rPr>
                <w:rFonts w:ascii="宋体" w:eastAsia="宋体" w:hAnsi="宋体" w:cs="宋体" w:hint="eastAsia"/>
                <w:color w:val="000000"/>
                <w:kern w:val="0"/>
                <w:sz w:val="18"/>
                <w:szCs w:val="18"/>
              </w:rPr>
              <w:lastRenderedPageBreak/>
              <w:t>平方米；</w:t>
            </w:r>
          </w:p>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②地块（商业服务业设施用地）计入容积率的总建筑面积不大于</w:t>
            </w:r>
            <w:r w:rsidRPr="004E409D">
              <w:rPr>
                <w:rFonts w:ascii="Times New Roman" w:eastAsia="宋体" w:hAnsi="Times New Roman" w:cs="Times New Roman"/>
                <w:color w:val="000000"/>
                <w:kern w:val="0"/>
                <w:sz w:val="18"/>
                <w:szCs w:val="18"/>
              </w:rPr>
              <w:t>115785</w:t>
            </w:r>
            <w:r w:rsidRPr="004E409D">
              <w:rPr>
                <w:rFonts w:ascii="宋体" w:eastAsia="宋体" w:hAnsi="宋体" w:cs="宋体" w:hint="eastAsia"/>
                <w:color w:val="000000"/>
                <w:kern w:val="0"/>
                <w:sz w:val="18"/>
                <w:szCs w:val="18"/>
              </w:rPr>
              <w:t>平方米；③地块（二类住宅用地兼容商业服务业设施用地）计入容积率的总建筑面积不大于</w:t>
            </w:r>
            <w:r w:rsidRPr="004E409D">
              <w:rPr>
                <w:rFonts w:ascii="Times New Roman" w:eastAsia="宋体" w:hAnsi="Times New Roman" w:cs="Times New Roman"/>
                <w:color w:val="000000"/>
                <w:kern w:val="0"/>
                <w:sz w:val="18"/>
                <w:szCs w:val="18"/>
              </w:rPr>
              <w:t>27798</w:t>
            </w:r>
            <w:r w:rsidRPr="004E409D">
              <w:rPr>
                <w:rFonts w:ascii="宋体" w:eastAsia="宋体" w:hAnsi="宋体" w:cs="宋体" w:hint="eastAsia"/>
                <w:color w:val="000000"/>
                <w:kern w:val="0"/>
                <w:sz w:val="18"/>
                <w:szCs w:val="18"/>
              </w:rPr>
              <w:t>平方米（可兼容商业面积比例不大于计入容积率的建筑面积的</w:t>
            </w:r>
            <w:r w:rsidRPr="004E409D">
              <w:rPr>
                <w:rFonts w:ascii="Times New Roman" w:eastAsia="宋体" w:hAnsi="Times New Roman" w:cs="Times New Roman"/>
                <w:color w:val="000000"/>
                <w:kern w:val="0"/>
                <w:sz w:val="18"/>
                <w:szCs w:val="18"/>
              </w:rPr>
              <w:t>20%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④地块（商业</w:t>
            </w:r>
            <w:r w:rsidRPr="004E409D">
              <w:rPr>
                <w:rFonts w:ascii="宋体" w:eastAsia="宋体" w:hAnsi="宋体" w:cs="宋体" w:hint="eastAsia"/>
                <w:color w:val="000000"/>
                <w:kern w:val="0"/>
                <w:sz w:val="18"/>
                <w:szCs w:val="18"/>
              </w:rPr>
              <w:lastRenderedPageBreak/>
              <w:t>服务业设施用地）计入容积率的总建筑面积不大于</w:t>
            </w:r>
            <w:r w:rsidRPr="004E409D">
              <w:rPr>
                <w:rFonts w:ascii="Times New Roman" w:eastAsia="宋体" w:hAnsi="Times New Roman" w:cs="Times New Roman"/>
                <w:color w:val="000000"/>
                <w:kern w:val="0"/>
                <w:sz w:val="18"/>
                <w:szCs w:val="18"/>
              </w:rPr>
              <w:t>55738</w:t>
            </w:r>
            <w:r w:rsidRPr="004E409D">
              <w:rPr>
                <w:rFonts w:ascii="宋体" w:eastAsia="宋体" w:hAnsi="宋体" w:cs="宋体" w:hint="eastAsia"/>
                <w:color w:val="000000"/>
                <w:kern w:val="0"/>
                <w:sz w:val="18"/>
                <w:szCs w:val="18"/>
              </w:rPr>
              <w:t>平方米；⑤地块（二类住宅用地）计入容积率的建筑面积不大于</w:t>
            </w:r>
            <w:r w:rsidRPr="004E409D">
              <w:rPr>
                <w:rFonts w:ascii="Times New Roman" w:eastAsia="宋体" w:hAnsi="Times New Roman" w:cs="Times New Roman"/>
                <w:color w:val="000000"/>
                <w:kern w:val="0"/>
                <w:sz w:val="18"/>
                <w:szCs w:val="18"/>
              </w:rPr>
              <w:t>30394</w:t>
            </w:r>
            <w:r w:rsidRPr="004E409D">
              <w:rPr>
                <w:rFonts w:ascii="宋体" w:eastAsia="宋体" w:hAnsi="宋体" w:cs="宋体" w:hint="eastAsia"/>
                <w:color w:val="000000"/>
                <w:kern w:val="0"/>
                <w:sz w:val="18"/>
                <w:szCs w:val="18"/>
              </w:rPr>
              <w:t>平方米，不兼容商业；</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⑥地块（二类住宅用地兼容商业服务业设施用地）计入容积率的总建筑面积不大于</w:t>
            </w:r>
            <w:r w:rsidRPr="004E409D">
              <w:rPr>
                <w:rFonts w:ascii="Times New Roman" w:eastAsia="宋体" w:hAnsi="Times New Roman" w:cs="Times New Roman"/>
                <w:color w:val="000000"/>
                <w:kern w:val="0"/>
                <w:sz w:val="18"/>
                <w:szCs w:val="18"/>
              </w:rPr>
              <w:t>59449</w:t>
            </w:r>
            <w:r w:rsidRPr="004E409D">
              <w:rPr>
                <w:rFonts w:ascii="宋体" w:eastAsia="宋体" w:hAnsi="宋体" w:cs="宋体" w:hint="eastAsia"/>
                <w:color w:val="000000"/>
                <w:kern w:val="0"/>
                <w:sz w:val="18"/>
                <w:szCs w:val="18"/>
              </w:rPr>
              <w:t>平方米（可兼容商业面积比例不大</w:t>
            </w:r>
            <w:r w:rsidRPr="004E409D">
              <w:rPr>
                <w:rFonts w:ascii="宋体" w:eastAsia="宋体" w:hAnsi="宋体" w:cs="宋体" w:hint="eastAsia"/>
                <w:color w:val="000000"/>
                <w:kern w:val="0"/>
                <w:sz w:val="18"/>
                <w:szCs w:val="18"/>
              </w:rPr>
              <w:lastRenderedPageBreak/>
              <w:t>于计入容积率的建筑面积的</w:t>
            </w:r>
            <w:r w:rsidRPr="004E409D">
              <w:rPr>
                <w:rFonts w:ascii="Times New Roman" w:eastAsia="宋体" w:hAnsi="Times New Roman" w:cs="Times New Roman"/>
                <w:color w:val="000000"/>
                <w:kern w:val="0"/>
                <w:sz w:val="18"/>
                <w:szCs w:val="18"/>
              </w:rPr>
              <w:t>20%</w:t>
            </w:r>
            <w:r w:rsidRPr="004E409D">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lastRenderedPageBreak/>
              <w:t>①地块总建筑密度不大于</w:t>
            </w:r>
            <w:r w:rsidRPr="004E409D">
              <w:rPr>
                <w:rFonts w:ascii="Times New Roman" w:eastAsia="宋体" w:hAnsi="Times New Roman" w:cs="Times New Roman"/>
                <w:color w:val="000000"/>
                <w:kern w:val="0"/>
                <w:sz w:val="18"/>
                <w:szCs w:val="18"/>
              </w:rPr>
              <w:t>50%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②地块总建筑密度不大于</w:t>
            </w:r>
            <w:r w:rsidRPr="004E409D">
              <w:rPr>
                <w:rFonts w:ascii="Times New Roman" w:eastAsia="宋体" w:hAnsi="Times New Roman" w:cs="Times New Roman"/>
                <w:color w:val="000000"/>
                <w:kern w:val="0"/>
                <w:sz w:val="18"/>
                <w:szCs w:val="18"/>
              </w:rPr>
              <w:t>50%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④地块总建筑</w:t>
            </w:r>
            <w:r w:rsidRPr="004E409D">
              <w:rPr>
                <w:rFonts w:ascii="宋体" w:eastAsia="宋体" w:hAnsi="宋体" w:cs="宋体" w:hint="eastAsia"/>
                <w:color w:val="000000"/>
                <w:kern w:val="0"/>
                <w:sz w:val="18"/>
                <w:szCs w:val="18"/>
              </w:rPr>
              <w:lastRenderedPageBreak/>
              <w:t>密度不大于</w:t>
            </w:r>
            <w:r w:rsidRPr="004E409D">
              <w:rPr>
                <w:rFonts w:ascii="Times New Roman" w:eastAsia="宋体" w:hAnsi="Times New Roman" w:cs="Times New Roman"/>
                <w:color w:val="000000"/>
                <w:kern w:val="0"/>
                <w:sz w:val="18"/>
                <w:szCs w:val="18"/>
              </w:rPr>
              <w:t>50%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③地块总建筑密度不大于</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⑥地块总建筑密度不大于</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⑤地块建筑密度不大于</w:t>
            </w:r>
            <w:r w:rsidRPr="004E409D">
              <w:rPr>
                <w:rFonts w:ascii="Times New Roman" w:eastAsia="宋体" w:hAnsi="Times New Roman" w:cs="Times New Roman"/>
                <w:color w:val="000000"/>
                <w:kern w:val="0"/>
                <w:sz w:val="18"/>
                <w:szCs w:val="18"/>
              </w:rPr>
              <w:t>20%</w:t>
            </w:r>
            <w:r w:rsidRPr="004E409D">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lastRenderedPageBreak/>
              <w:t>①、③、④、⑤、⑥地块建筑物（含所有建、构筑物及设施）最高点高程不大于航空限高</w:t>
            </w:r>
            <w:r w:rsidRPr="004E409D">
              <w:rPr>
                <w:rFonts w:ascii="宋体" w:eastAsia="宋体" w:hAnsi="宋体" w:cs="宋体" w:hint="eastAsia"/>
                <w:color w:val="000000"/>
                <w:kern w:val="0"/>
                <w:sz w:val="18"/>
                <w:szCs w:val="18"/>
              </w:rPr>
              <w:lastRenderedPageBreak/>
              <w:t>绝对海拔高程</w:t>
            </w:r>
            <w:r w:rsidRPr="004E409D">
              <w:rPr>
                <w:rFonts w:ascii="Times New Roman" w:eastAsia="宋体" w:hAnsi="Times New Roman" w:cs="Times New Roman"/>
                <w:color w:val="000000"/>
                <w:kern w:val="0"/>
                <w:sz w:val="18"/>
                <w:szCs w:val="18"/>
              </w:rPr>
              <w:t>542</w:t>
            </w:r>
            <w:r w:rsidRPr="004E409D">
              <w:rPr>
                <w:rFonts w:ascii="宋体" w:eastAsia="宋体" w:hAnsi="宋体" w:cs="宋体" w:hint="eastAsia"/>
                <w:color w:val="000000"/>
                <w:kern w:val="0"/>
                <w:sz w:val="18"/>
                <w:szCs w:val="18"/>
              </w:rPr>
              <w:t>米（建筑物最高点相对地面高度约</w:t>
            </w:r>
            <w:r w:rsidRPr="004E409D">
              <w:rPr>
                <w:rFonts w:ascii="Times New Roman" w:eastAsia="宋体" w:hAnsi="Times New Roman" w:cs="Times New Roman"/>
                <w:color w:val="000000"/>
                <w:kern w:val="0"/>
                <w:sz w:val="18"/>
                <w:szCs w:val="18"/>
              </w:rPr>
              <w:t>39</w:t>
            </w:r>
            <w:r w:rsidRPr="004E409D">
              <w:rPr>
                <w:rFonts w:ascii="宋体" w:eastAsia="宋体" w:hAnsi="宋体" w:cs="宋体" w:hint="eastAsia"/>
                <w:color w:val="000000"/>
                <w:kern w:val="0"/>
                <w:sz w:val="18"/>
                <w:szCs w:val="18"/>
              </w:rPr>
              <w:t>米），②地块建筑物（含所有建、构筑物及设施）最高点高程不大于航空限高绝对海拔高程</w:t>
            </w:r>
            <w:r w:rsidRPr="004E409D">
              <w:rPr>
                <w:rFonts w:ascii="Times New Roman" w:eastAsia="宋体" w:hAnsi="Times New Roman" w:cs="Times New Roman"/>
                <w:color w:val="000000"/>
                <w:kern w:val="0"/>
                <w:sz w:val="18"/>
                <w:szCs w:val="18"/>
              </w:rPr>
              <w:t>539</w:t>
            </w:r>
            <w:r w:rsidRPr="004E409D">
              <w:rPr>
                <w:rFonts w:ascii="宋体" w:eastAsia="宋体" w:hAnsi="宋体" w:cs="宋体" w:hint="eastAsia"/>
                <w:color w:val="000000"/>
                <w:kern w:val="0"/>
                <w:sz w:val="18"/>
                <w:szCs w:val="18"/>
              </w:rPr>
              <w:t>米（建筑物最高点相对地面高度约</w:t>
            </w:r>
            <w:r w:rsidRPr="004E409D">
              <w:rPr>
                <w:rFonts w:ascii="Times New Roman" w:eastAsia="宋体" w:hAnsi="Times New Roman" w:cs="Times New Roman"/>
                <w:color w:val="000000"/>
                <w:kern w:val="0"/>
                <w:sz w:val="18"/>
                <w:szCs w:val="18"/>
              </w:rPr>
              <w:t>36</w:t>
            </w:r>
            <w:r w:rsidRPr="004E409D">
              <w:rPr>
                <w:rFonts w:ascii="宋体" w:eastAsia="宋体" w:hAnsi="宋体" w:cs="宋体" w:hint="eastAsia"/>
                <w:color w:val="000000"/>
                <w:kern w:val="0"/>
                <w:sz w:val="18"/>
                <w:szCs w:val="18"/>
              </w:rPr>
              <w:lastRenderedPageBreak/>
              <w:t>米），若要突破限高必须取得相关机场管理部门的书面批复。</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lastRenderedPageBreak/>
              <w:t>商业服务业设施用地、二类住宅用地兼容商业服务业设施用地、二类住宅用地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206.5303</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成都市规划和自然资源局</w:t>
            </w:r>
          </w:p>
        </w:tc>
      </w:tr>
      <w:tr w:rsidR="004E409D" w:rsidRPr="004E409D" w:rsidTr="004E409D">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lastRenderedPageBreak/>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LQY01</w:t>
            </w:r>
            <w:r w:rsidRPr="004E409D">
              <w:rPr>
                <w:rFonts w:ascii="宋体" w:eastAsia="宋体" w:hAnsi="宋体" w:cs="宋体" w:hint="eastAsia"/>
                <w:color w:val="000000"/>
                <w:kern w:val="0"/>
                <w:sz w:val="18"/>
                <w:szCs w:val="18"/>
              </w:rPr>
              <w:t>（</w:t>
            </w:r>
            <w:r w:rsidRPr="004E409D">
              <w:rPr>
                <w:rFonts w:ascii="Times New Roman" w:eastAsia="宋体" w:hAnsi="Times New Roman" w:cs="Times New Roman"/>
                <w:color w:val="000000"/>
                <w:kern w:val="0"/>
                <w:sz w:val="18"/>
                <w:szCs w:val="18"/>
              </w:rPr>
              <w:t>251/211</w:t>
            </w:r>
            <w:r w:rsidRPr="004E409D">
              <w:rPr>
                <w:rFonts w:ascii="宋体" w:eastAsia="宋体" w:hAnsi="宋体" w:cs="宋体" w:hint="eastAsia"/>
                <w:color w:val="000000"/>
                <w:kern w:val="0"/>
                <w:sz w:val="18"/>
                <w:szCs w:val="18"/>
              </w:rPr>
              <w:t>）：</w:t>
            </w:r>
            <w:r w:rsidRPr="004E409D">
              <w:rPr>
                <w:rFonts w:ascii="Times New Roman" w:eastAsia="宋体" w:hAnsi="Times New Roman" w:cs="Times New Roman"/>
                <w:color w:val="000000"/>
                <w:kern w:val="0"/>
                <w:sz w:val="18"/>
                <w:szCs w:val="18"/>
              </w:rPr>
              <w:t>2019-035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龙泉</w:t>
            </w:r>
            <w:proofErr w:type="gramStart"/>
            <w:r w:rsidRPr="004E409D">
              <w:rPr>
                <w:rFonts w:ascii="宋体" w:eastAsia="宋体" w:hAnsi="宋体" w:cs="宋体" w:hint="eastAsia"/>
                <w:color w:val="000000"/>
                <w:kern w:val="0"/>
                <w:sz w:val="18"/>
                <w:szCs w:val="18"/>
              </w:rPr>
              <w:t>驿</w:t>
            </w:r>
            <w:proofErr w:type="gramEnd"/>
            <w:r w:rsidRPr="004E409D">
              <w:rPr>
                <w:rFonts w:ascii="宋体" w:eastAsia="宋体" w:hAnsi="宋体" w:cs="宋体" w:hint="eastAsia"/>
                <w:color w:val="000000"/>
                <w:kern w:val="0"/>
                <w:sz w:val="18"/>
                <w:szCs w:val="18"/>
              </w:rPr>
              <w:t>区大面街道</w:t>
            </w:r>
            <w:proofErr w:type="gramStart"/>
            <w:r w:rsidRPr="004E409D">
              <w:rPr>
                <w:rFonts w:ascii="宋体" w:eastAsia="宋体" w:hAnsi="宋体" w:cs="宋体" w:hint="eastAsia"/>
                <w:color w:val="000000"/>
                <w:kern w:val="0"/>
                <w:sz w:val="18"/>
                <w:szCs w:val="18"/>
              </w:rPr>
              <w:t>驿</w:t>
            </w:r>
            <w:proofErr w:type="gramEnd"/>
            <w:r w:rsidRPr="004E409D">
              <w:rPr>
                <w:rFonts w:ascii="宋体" w:eastAsia="宋体" w:hAnsi="宋体" w:cs="宋体" w:hint="eastAsia"/>
                <w:color w:val="000000"/>
                <w:kern w:val="0"/>
                <w:sz w:val="18"/>
                <w:szCs w:val="18"/>
              </w:rPr>
              <w:t>都大道以南、行政学院以东</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192787.48</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合</w:t>
            </w:r>
            <w:r w:rsidRPr="004E409D">
              <w:rPr>
                <w:rFonts w:ascii="Times New Roman" w:eastAsia="宋体" w:hAnsi="Times New Roman" w:cs="Times New Roman"/>
                <w:color w:val="000000"/>
                <w:kern w:val="0"/>
                <w:sz w:val="18"/>
                <w:szCs w:val="18"/>
              </w:rPr>
              <w:t>289.1812</w:t>
            </w:r>
            <w:r w:rsidRPr="004E409D">
              <w:rPr>
                <w:rFonts w:ascii="宋体" w:eastAsia="宋体" w:hAnsi="宋体" w:cs="宋体" w:hint="eastAsia"/>
                <w:color w:val="000000"/>
                <w:kern w:val="0"/>
                <w:sz w:val="18"/>
                <w:szCs w:val="18"/>
              </w:rPr>
              <w:t>亩</w:t>
            </w:r>
            <w:r w:rsidRPr="004E409D">
              <w:rPr>
                <w:rFonts w:ascii="Times New Roman" w:eastAsia="宋体" w:hAnsi="Times New Roman" w:cs="Times New Roman"/>
                <w:color w:val="000000"/>
                <w:kern w:val="0"/>
                <w:sz w:val="18"/>
                <w:szCs w:val="18"/>
              </w:rPr>
              <w:t>(</w:t>
            </w:r>
            <w:r w:rsidRPr="004E409D">
              <w:rPr>
                <w:rFonts w:ascii="宋体" w:eastAsia="宋体" w:hAnsi="宋体" w:cs="宋体" w:hint="eastAsia"/>
                <w:color w:val="000000"/>
                <w:kern w:val="0"/>
                <w:sz w:val="18"/>
                <w:szCs w:val="18"/>
              </w:rPr>
              <w:t>其中出让面积</w:t>
            </w:r>
            <w:r w:rsidRPr="004E409D">
              <w:rPr>
                <w:rFonts w:ascii="Times New Roman" w:eastAsia="宋体" w:hAnsi="Times New Roman" w:cs="Times New Roman"/>
                <w:color w:val="000000"/>
                <w:kern w:val="0"/>
                <w:sz w:val="18"/>
                <w:szCs w:val="18"/>
              </w:rPr>
              <w:t xml:space="preserve"> 212.0069</w:t>
            </w:r>
            <w:r w:rsidRPr="004E409D">
              <w:rPr>
                <w:rFonts w:ascii="宋体" w:eastAsia="宋体" w:hAnsi="宋体" w:cs="宋体" w:hint="eastAsia"/>
                <w:color w:val="000000"/>
                <w:kern w:val="0"/>
                <w:sz w:val="18"/>
                <w:szCs w:val="18"/>
              </w:rPr>
              <w:t>亩</w:t>
            </w:r>
            <w:r w:rsidRPr="004E409D">
              <w:rPr>
                <w:rFonts w:ascii="Times New Roman" w:eastAsia="宋体" w:hAnsi="Times New Roman" w:cs="Times New Roman"/>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住宅用地、商业用地</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住宅用地</w:t>
            </w:r>
            <w:r w:rsidRPr="004E409D">
              <w:rPr>
                <w:rFonts w:ascii="Times New Roman" w:eastAsia="宋体" w:hAnsi="Times New Roman" w:cs="Times New Roman"/>
                <w:color w:val="000000"/>
                <w:kern w:val="0"/>
                <w:sz w:val="18"/>
                <w:szCs w:val="18"/>
              </w:rPr>
              <w:t>70</w:t>
            </w:r>
            <w:r w:rsidRPr="004E409D">
              <w:rPr>
                <w:rFonts w:ascii="宋体" w:eastAsia="宋体" w:hAnsi="宋体" w:cs="宋体" w:hint="eastAsia"/>
                <w:color w:val="000000"/>
                <w:kern w:val="0"/>
                <w:sz w:val="18"/>
                <w:szCs w:val="18"/>
              </w:rPr>
              <w:t>年、商业用地</w:t>
            </w:r>
            <w:r w:rsidRPr="004E409D">
              <w:rPr>
                <w:rFonts w:ascii="Times New Roman" w:eastAsia="宋体" w:hAnsi="Times New Roman" w:cs="Times New Roman"/>
                <w:color w:val="000000"/>
                <w:kern w:val="0"/>
                <w:sz w:val="18"/>
                <w:szCs w:val="18"/>
              </w:rPr>
              <w:t>40</w:t>
            </w:r>
            <w:r w:rsidRPr="004E409D">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楼面地价：</w:t>
            </w:r>
            <w:r w:rsidRPr="004E409D">
              <w:rPr>
                <w:rFonts w:ascii="Times New Roman" w:eastAsia="宋体" w:hAnsi="Times New Roman" w:cs="Times New Roman"/>
                <w:color w:val="000000"/>
                <w:kern w:val="0"/>
                <w:sz w:val="18"/>
                <w:szCs w:val="18"/>
              </w:rPr>
              <w:t>8370</w:t>
            </w:r>
            <w:r w:rsidRPr="004E409D">
              <w:rPr>
                <w:rFonts w:ascii="宋体" w:eastAsia="宋体" w:hAnsi="宋体" w:cs="宋体" w:hint="eastAsia"/>
                <w:color w:val="000000"/>
                <w:kern w:val="0"/>
                <w:sz w:val="18"/>
                <w:szCs w:val="18"/>
              </w:rPr>
              <w:t>元</w:t>
            </w:r>
            <w:r w:rsidRPr="004E409D">
              <w:rPr>
                <w:rFonts w:ascii="Times New Roman" w:eastAsia="宋体" w:hAnsi="Times New Roman" w:cs="Times New Roman"/>
                <w:color w:val="000000"/>
                <w:kern w:val="0"/>
                <w:sz w:val="18"/>
                <w:szCs w:val="18"/>
              </w:rPr>
              <w:t>/</w:t>
            </w:r>
            <w:r w:rsidRPr="004E409D">
              <w:rPr>
                <w:rFonts w:ascii="宋体" w:eastAsia="宋体" w:hAnsi="宋体" w:cs="宋体" w:hint="eastAsia"/>
                <w:color w:val="000000"/>
                <w:kern w:val="0"/>
                <w:sz w:val="18"/>
                <w:szCs w:val="18"/>
              </w:rPr>
              <w:t>平方米</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54540</w:t>
            </w:r>
          </w:p>
        </w:tc>
        <w:tc>
          <w:tcPr>
            <w:tcW w:w="0" w:type="auto"/>
            <w:vMerge/>
            <w:tcBorders>
              <w:top w:val="nil"/>
              <w:left w:val="nil"/>
              <w:bottom w:val="single" w:sz="6" w:space="0" w:color="666666"/>
              <w:right w:val="single" w:sz="6" w:space="0" w:color="666666"/>
            </w:tcBorders>
            <w:vAlign w:val="center"/>
            <w:hideMark/>
          </w:tcPr>
          <w:p w:rsidR="004E409D" w:rsidRPr="004E409D" w:rsidRDefault="004E409D" w:rsidP="004E409D">
            <w:pPr>
              <w:widowControl/>
              <w:jc w:val="left"/>
              <w:rPr>
                <w:rFonts w:ascii="宋体" w:eastAsia="宋体" w:hAnsi="宋体"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计入容积率的总建筑面积不大于</w:t>
            </w:r>
            <w:r w:rsidRPr="004E409D">
              <w:rPr>
                <w:rFonts w:ascii="Times New Roman" w:eastAsia="宋体" w:hAnsi="Times New Roman" w:cs="Times New Roman"/>
                <w:color w:val="000000"/>
                <w:kern w:val="0"/>
                <w:sz w:val="18"/>
                <w:szCs w:val="18"/>
              </w:rPr>
              <w:t>325803.81</w:t>
            </w:r>
            <w:r w:rsidRPr="004E409D">
              <w:rPr>
                <w:rFonts w:ascii="宋体" w:eastAsia="宋体" w:hAnsi="宋体" w:cs="宋体" w:hint="eastAsia"/>
                <w:color w:val="000000"/>
                <w:kern w:val="0"/>
                <w:sz w:val="18"/>
                <w:szCs w:val="18"/>
              </w:rPr>
              <w:t>平方米且不小于</w:t>
            </w:r>
            <w:r w:rsidRPr="004E409D">
              <w:rPr>
                <w:rFonts w:ascii="Times New Roman" w:eastAsia="宋体" w:hAnsi="Times New Roman" w:cs="Times New Roman"/>
                <w:color w:val="000000"/>
                <w:kern w:val="0"/>
                <w:sz w:val="18"/>
                <w:szCs w:val="18"/>
              </w:rPr>
              <w:t>141337.91</w:t>
            </w:r>
            <w:r w:rsidRPr="004E409D">
              <w:rPr>
                <w:rFonts w:ascii="宋体" w:eastAsia="宋体" w:hAnsi="宋体" w:cs="宋体" w:hint="eastAsia"/>
                <w:color w:val="000000"/>
                <w:kern w:val="0"/>
                <w:sz w:val="18"/>
                <w:szCs w:val="18"/>
              </w:rPr>
              <w:t>平方米。其中：</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w:t>
            </w:r>
            <w:r w:rsidRPr="004E409D">
              <w:rPr>
                <w:rFonts w:ascii="宋体" w:eastAsia="宋体" w:hAnsi="宋体" w:cs="宋体" w:hint="eastAsia"/>
                <w:color w:val="000000"/>
                <w:kern w:val="0"/>
                <w:sz w:val="18"/>
                <w:szCs w:val="18"/>
              </w:rPr>
              <w:t>号地块（商业服务业设施用地）容积率不大于</w:t>
            </w:r>
            <w:r w:rsidRPr="004E409D">
              <w:rPr>
                <w:rFonts w:ascii="Times New Roman" w:eastAsia="宋体" w:hAnsi="Times New Roman" w:cs="Times New Roman"/>
                <w:color w:val="000000"/>
                <w:kern w:val="0"/>
                <w:sz w:val="18"/>
                <w:szCs w:val="18"/>
              </w:rPr>
              <w:t>4.0</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2</w:t>
            </w:r>
            <w:r w:rsidRPr="004E409D">
              <w:rPr>
                <w:rFonts w:ascii="宋体" w:eastAsia="宋体" w:hAnsi="宋体" w:cs="宋体" w:hint="eastAsia"/>
                <w:color w:val="000000"/>
                <w:kern w:val="0"/>
                <w:sz w:val="18"/>
                <w:szCs w:val="18"/>
              </w:rPr>
              <w:t>号地块（商业服务业设施用地）容积率不大于</w:t>
            </w:r>
            <w:r w:rsidRPr="004E409D">
              <w:rPr>
                <w:rFonts w:ascii="Times New Roman" w:eastAsia="宋体" w:hAnsi="Times New Roman" w:cs="Times New Roman"/>
                <w:color w:val="000000"/>
                <w:kern w:val="0"/>
                <w:sz w:val="18"/>
                <w:szCs w:val="18"/>
              </w:rPr>
              <w:t>3.5</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3</w:t>
            </w:r>
            <w:r w:rsidRPr="004E409D">
              <w:rPr>
                <w:rFonts w:ascii="宋体" w:eastAsia="宋体" w:hAnsi="宋体" w:cs="宋体" w:hint="eastAsia"/>
                <w:color w:val="000000"/>
                <w:kern w:val="0"/>
                <w:sz w:val="18"/>
                <w:szCs w:val="18"/>
              </w:rPr>
              <w:t>号地块〔二</w:t>
            </w:r>
            <w:r w:rsidRPr="004E409D">
              <w:rPr>
                <w:rFonts w:ascii="宋体" w:eastAsia="宋体" w:hAnsi="宋体" w:cs="宋体" w:hint="eastAsia"/>
                <w:color w:val="000000"/>
                <w:kern w:val="0"/>
                <w:sz w:val="18"/>
                <w:szCs w:val="18"/>
              </w:rPr>
              <w:lastRenderedPageBreak/>
              <w:t>类住宅用地兼容商业服务业设施用地（可兼容的商业建筑面积占计入容积率的建筑面积的比例为</w:t>
            </w:r>
            <w:r w:rsidRPr="004E409D">
              <w:rPr>
                <w:rFonts w:ascii="Times New Roman" w:eastAsia="宋体" w:hAnsi="Times New Roman" w:cs="Times New Roman"/>
                <w:color w:val="000000"/>
                <w:kern w:val="0"/>
                <w:sz w:val="18"/>
                <w:szCs w:val="18"/>
              </w:rPr>
              <w:t>10%-15%</w:t>
            </w:r>
            <w:r w:rsidRPr="004E409D">
              <w:rPr>
                <w:rFonts w:ascii="宋体" w:eastAsia="宋体" w:hAnsi="宋体" w:cs="宋体" w:hint="eastAsia"/>
                <w:color w:val="000000"/>
                <w:kern w:val="0"/>
                <w:sz w:val="18"/>
                <w:szCs w:val="18"/>
              </w:rPr>
              <w:t>）〕容积率不大于</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4</w:t>
            </w:r>
            <w:r w:rsidRPr="004E409D">
              <w:rPr>
                <w:rFonts w:ascii="宋体" w:eastAsia="宋体" w:hAnsi="宋体" w:cs="宋体" w:hint="eastAsia"/>
                <w:color w:val="000000"/>
                <w:kern w:val="0"/>
                <w:sz w:val="18"/>
                <w:szCs w:val="18"/>
              </w:rPr>
              <w:t>号地块〔二类住宅用地兼容商业服务业设施用地（可兼容的商业建筑面积占计入容积率的建筑面积的比例为</w:t>
            </w:r>
            <w:r w:rsidRPr="004E409D">
              <w:rPr>
                <w:rFonts w:ascii="Times New Roman" w:eastAsia="宋体" w:hAnsi="Times New Roman" w:cs="Times New Roman"/>
                <w:color w:val="000000"/>
                <w:kern w:val="0"/>
                <w:sz w:val="18"/>
                <w:szCs w:val="18"/>
              </w:rPr>
              <w:t>10%-15%</w:t>
            </w:r>
            <w:r w:rsidRPr="004E409D">
              <w:rPr>
                <w:rFonts w:ascii="宋体" w:eastAsia="宋体" w:hAnsi="宋体" w:cs="宋体" w:hint="eastAsia"/>
                <w:color w:val="000000"/>
                <w:kern w:val="0"/>
                <w:sz w:val="18"/>
                <w:szCs w:val="18"/>
              </w:rPr>
              <w:t>）〕容积率不大于</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lastRenderedPageBreak/>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5</w:t>
            </w:r>
            <w:r w:rsidRPr="004E409D">
              <w:rPr>
                <w:rFonts w:ascii="宋体" w:eastAsia="宋体" w:hAnsi="宋体" w:cs="宋体" w:hint="eastAsia"/>
                <w:color w:val="000000"/>
                <w:kern w:val="0"/>
                <w:sz w:val="18"/>
                <w:szCs w:val="18"/>
              </w:rPr>
              <w:t>号地块〔二类住宅用地兼容商业服务业设施用地（可兼容的商业建筑面积占计入容积率的建筑面积的比例为</w:t>
            </w:r>
            <w:r w:rsidRPr="004E409D">
              <w:rPr>
                <w:rFonts w:ascii="Times New Roman" w:eastAsia="宋体" w:hAnsi="Times New Roman" w:cs="Times New Roman"/>
                <w:color w:val="000000"/>
                <w:kern w:val="0"/>
                <w:sz w:val="18"/>
                <w:szCs w:val="18"/>
              </w:rPr>
              <w:t>10%-15%</w:t>
            </w:r>
            <w:r w:rsidRPr="004E409D">
              <w:rPr>
                <w:rFonts w:ascii="宋体" w:eastAsia="宋体" w:hAnsi="宋体" w:cs="宋体" w:hint="eastAsia"/>
                <w:color w:val="000000"/>
                <w:kern w:val="0"/>
                <w:sz w:val="18"/>
                <w:szCs w:val="18"/>
              </w:rPr>
              <w:t>）〕容积率不大于</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6</w:t>
            </w:r>
            <w:r w:rsidRPr="004E409D">
              <w:rPr>
                <w:rFonts w:ascii="宋体" w:eastAsia="宋体" w:hAnsi="宋体" w:cs="宋体" w:hint="eastAsia"/>
                <w:color w:val="000000"/>
                <w:kern w:val="0"/>
                <w:sz w:val="18"/>
                <w:szCs w:val="18"/>
              </w:rPr>
              <w:t>号地块〔二类住宅用地兼容商业服务业设施用地（可兼容的商业建筑面积占计入容积率的建筑面积的</w:t>
            </w:r>
            <w:r w:rsidRPr="004E409D">
              <w:rPr>
                <w:rFonts w:ascii="宋体" w:eastAsia="宋体" w:hAnsi="宋体" w:cs="宋体" w:hint="eastAsia"/>
                <w:color w:val="000000"/>
                <w:kern w:val="0"/>
                <w:sz w:val="18"/>
                <w:szCs w:val="18"/>
              </w:rPr>
              <w:lastRenderedPageBreak/>
              <w:t>比例为</w:t>
            </w:r>
            <w:r w:rsidRPr="004E409D">
              <w:rPr>
                <w:rFonts w:ascii="Times New Roman" w:eastAsia="宋体" w:hAnsi="Times New Roman" w:cs="Times New Roman"/>
                <w:color w:val="000000"/>
                <w:kern w:val="0"/>
                <w:sz w:val="18"/>
                <w:szCs w:val="18"/>
              </w:rPr>
              <w:t>10%-15%</w:t>
            </w:r>
            <w:r w:rsidRPr="004E409D">
              <w:rPr>
                <w:rFonts w:ascii="宋体" w:eastAsia="宋体" w:hAnsi="宋体" w:cs="宋体" w:hint="eastAsia"/>
                <w:color w:val="000000"/>
                <w:kern w:val="0"/>
                <w:sz w:val="18"/>
                <w:szCs w:val="18"/>
              </w:rPr>
              <w:t>）〕容积率不大于</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7</w:t>
            </w:r>
            <w:r w:rsidRPr="004E409D">
              <w:rPr>
                <w:rFonts w:ascii="宋体" w:eastAsia="宋体" w:hAnsi="宋体" w:cs="宋体" w:hint="eastAsia"/>
                <w:color w:val="000000"/>
                <w:kern w:val="0"/>
                <w:sz w:val="18"/>
                <w:szCs w:val="18"/>
              </w:rPr>
              <w:t>号地块〔二类住宅用地兼容商业服务业设施用地（可兼容的商业建筑面积占计入容积率的建筑面积的比例为</w:t>
            </w:r>
            <w:r w:rsidRPr="004E409D">
              <w:rPr>
                <w:rFonts w:ascii="Times New Roman" w:eastAsia="宋体" w:hAnsi="Times New Roman" w:cs="Times New Roman"/>
                <w:color w:val="000000"/>
                <w:kern w:val="0"/>
                <w:sz w:val="18"/>
                <w:szCs w:val="18"/>
              </w:rPr>
              <w:t>5%-10%</w:t>
            </w:r>
            <w:r w:rsidRPr="004E409D">
              <w:rPr>
                <w:rFonts w:ascii="宋体" w:eastAsia="宋体" w:hAnsi="宋体" w:cs="宋体" w:hint="eastAsia"/>
                <w:color w:val="000000"/>
                <w:kern w:val="0"/>
                <w:sz w:val="18"/>
                <w:szCs w:val="18"/>
              </w:rPr>
              <w:t>）〕容积率不大于</w:t>
            </w:r>
            <w:r w:rsidRPr="004E409D">
              <w:rPr>
                <w:rFonts w:ascii="Times New Roman" w:eastAsia="宋体" w:hAnsi="Times New Roman" w:cs="Times New Roman"/>
                <w:color w:val="000000"/>
                <w:kern w:val="0"/>
                <w:sz w:val="18"/>
                <w:szCs w:val="18"/>
              </w:rPr>
              <w:t>1.5</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8</w:t>
            </w:r>
            <w:r w:rsidRPr="004E409D">
              <w:rPr>
                <w:rFonts w:ascii="宋体" w:eastAsia="宋体" w:hAnsi="宋体" w:cs="宋体" w:hint="eastAsia"/>
                <w:color w:val="000000"/>
                <w:kern w:val="0"/>
                <w:sz w:val="18"/>
                <w:szCs w:val="18"/>
              </w:rPr>
              <w:t>号地块（二类住宅用地）容积率不大于</w:t>
            </w:r>
            <w:r w:rsidRPr="004E409D">
              <w:rPr>
                <w:rFonts w:ascii="Times New Roman" w:eastAsia="宋体" w:hAnsi="Times New Roman" w:cs="Times New Roman"/>
                <w:color w:val="000000"/>
                <w:kern w:val="0"/>
                <w:sz w:val="18"/>
                <w:szCs w:val="18"/>
              </w:rPr>
              <w:t>1.5</w:t>
            </w:r>
            <w:r w:rsidRPr="004E409D">
              <w:rPr>
                <w:rFonts w:ascii="宋体" w:eastAsia="宋体" w:hAnsi="宋体" w:cs="宋体" w:hint="eastAsia"/>
                <w:color w:val="000000"/>
                <w:kern w:val="0"/>
                <w:sz w:val="18"/>
                <w:szCs w:val="18"/>
              </w:rPr>
              <w:t>且</w:t>
            </w:r>
            <w:r w:rsidRPr="004E409D">
              <w:rPr>
                <w:rFonts w:ascii="宋体" w:eastAsia="宋体" w:hAnsi="宋体" w:cs="宋体" w:hint="eastAsia"/>
                <w:color w:val="000000"/>
                <w:kern w:val="0"/>
                <w:sz w:val="18"/>
                <w:szCs w:val="18"/>
              </w:rPr>
              <w:lastRenderedPageBreak/>
              <w:t>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9</w:t>
            </w:r>
            <w:r w:rsidRPr="004E409D">
              <w:rPr>
                <w:rFonts w:ascii="宋体" w:eastAsia="宋体" w:hAnsi="宋体" w:cs="宋体" w:hint="eastAsia"/>
                <w:color w:val="000000"/>
                <w:kern w:val="0"/>
                <w:sz w:val="18"/>
                <w:szCs w:val="18"/>
              </w:rPr>
              <w:t>号地块〔服务设施用地（幼儿园）〕容积率结合方案合理性确定；</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号地块（服务设施用地）容积率不大于</w:t>
            </w:r>
            <w:r w:rsidRPr="004E409D">
              <w:rPr>
                <w:rFonts w:ascii="Times New Roman" w:eastAsia="宋体" w:hAnsi="Times New Roman" w:cs="Times New Roman"/>
                <w:color w:val="000000"/>
                <w:kern w:val="0"/>
                <w:sz w:val="18"/>
                <w:szCs w:val="18"/>
              </w:rPr>
              <w:t>2.4</w:t>
            </w:r>
            <w:r w:rsidRPr="004E409D">
              <w:rPr>
                <w:rFonts w:ascii="宋体" w:eastAsia="宋体" w:hAnsi="宋体" w:cs="宋体" w:hint="eastAsia"/>
                <w:color w:val="000000"/>
                <w:kern w:val="0"/>
                <w:sz w:val="18"/>
                <w:szCs w:val="18"/>
              </w:rPr>
              <w:t>且不小于</w:t>
            </w: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11</w:t>
            </w:r>
            <w:r w:rsidRPr="004E409D">
              <w:rPr>
                <w:rFonts w:ascii="宋体" w:eastAsia="宋体" w:hAnsi="宋体" w:cs="宋体" w:hint="eastAsia"/>
                <w:color w:val="000000"/>
                <w:kern w:val="0"/>
                <w:sz w:val="18"/>
                <w:szCs w:val="18"/>
              </w:rPr>
              <w:t>号地块〔服务设施用地（幼儿园）〕容积率结合方案合理性确定。</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lastRenderedPageBreak/>
              <w:t>1</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2</w:t>
            </w:r>
            <w:r w:rsidRPr="004E409D">
              <w:rPr>
                <w:rFonts w:ascii="宋体" w:eastAsia="宋体" w:hAnsi="宋体" w:cs="宋体" w:hint="eastAsia"/>
                <w:color w:val="000000"/>
                <w:kern w:val="0"/>
                <w:sz w:val="18"/>
                <w:szCs w:val="18"/>
              </w:rPr>
              <w:t>号地块：≤</w:t>
            </w:r>
            <w:r w:rsidRPr="004E409D">
              <w:rPr>
                <w:rFonts w:ascii="Times New Roman" w:eastAsia="宋体" w:hAnsi="Times New Roman" w:cs="Times New Roman"/>
                <w:color w:val="000000"/>
                <w:kern w:val="0"/>
                <w:sz w:val="18"/>
                <w:szCs w:val="18"/>
              </w:rPr>
              <w:t>50%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3</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4</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5</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6</w:t>
            </w:r>
            <w:r w:rsidRPr="004E409D">
              <w:rPr>
                <w:rFonts w:ascii="宋体" w:eastAsia="宋体" w:hAnsi="宋体" w:cs="宋体" w:hint="eastAsia"/>
                <w:color w:val="000000"/>
                <w:kern w:val="0"/>
                <w:sz w:val="18"/>
                <w:szCs w:val="18"/>
              </w:rPr>
              <w:t>号地块：≤</w:t>
            </w:r>
            <w:r w:rsidRPr="004E409D">
              <w:rPr>
                <w:rFonts w:ascii="Times New Roman" w:eastAsia="宋体" w:hAnsi="Times New Roman" w:cs="Times New Roman"/>
                <w:color w:val="000000"/>
                <w:kern w:val="0"/>
                <w:sz w:val="18"/>
                <w:szCs w:val="18"/>
              </w:rPr>
              <w:t>25%</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7</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8</w:t>
            </w:r>
            <w:r w:rsidRPr="004E409D">
              <w:rPr>
                <w:rFonts w:ascii="宋体" w:eastAsia="宋体" w:hAnsi="宋体" w:cs="宋体" w:hint="eastAsia"/>
                <w:color w:val="000000"/>
                <w:kern w:val="0"/>
                <w:sz w:val="18"/>
                <w:szCs w:val="18"/>
              </w:rPr>
              <w:t>号地块：≤</w:t>
            </w:r>
            <w:r w:rsidRPr="004E409D">
              <w:rPr>
                <w:rFonts w:ascii="Times New Roman" w:eastAsia="宋体" w:hAnsi="Times New Roman" w:cs="Times New Roman"/>
                <w:color w:val="000000"/>
                <w:kern w:val="0"/>
                <w:sz w:val="18"/>
                <w:szCs w:val="18"/>
              </w:rPr>
              <w:t>30%</w:t>
            </w:r>
            <w:r w:rsidRPr="004E409D">
              <w:rPr>
                <w:rFonts w:ascii="宋体" w:eastAsia="宋体" w:hAnsi="宋体" w:cs="宋体" w:hint="eastAsia"/>
                <w:color w:val="000000"/>
                <w:kern w:val="0"/>
                <w:sz w:val="18"/>
                <w:szCs w:val="18"/>
              </w:rPr>
              <w:t>；</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9</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11</w:t>
            </w:r>
            <w:r w:rsidRPr="004E409D">
              <w:rPr>
                <w:rFonts w:ascii="宋体" w:eastAsia="宋体" w:hAnsi="宋体" w:cs="宋体" w:hint="eastAsia"/>
                <w:color w:val="000000"/>
                <w:kern w:val="0"/>
                <w:sz w:val="18"/>
                <w:szCs w:val="18"/>
              </w:rPr>
              <w:t>号地块：≤</w:t>
            </w:r>
            <w:r w:rsidRPr="004E409D">
              <w:rPr>
                <w:rFonts w:ascii="Times New Roman" w:eastAsia="宋体" w:hAnsi="Times New Roman" w:cs="Times New Roman"/>
                <w:color w:val="000000"/>
                <w:kern w:val="0"/>
                <w:sz w:val="18"/>
                <w:szCs w:val="18"/>
              </w:rPr>
              <w:lastRenderedPageBreak/>
              <w:t>35%</w:t>
            </w:r>
            <w:r w:rsidRPr="004E409D">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lastRenderedPageBreak/>
              <w:t>1</w:t>
            </w:r>
            <w:r w:rsidRPr="004E409D">
              <w:rPr>
                <w:rFonts w:ascii="宋体" w:eastAsia="宋体" w:hAnsi="宋体" w:cs="宋体" w:hint="eastAsia"/>
                <w:color w:val="000000"/>
                <w:kern w:val="0"/>
                <w:sz w:val="18"/>
                <w:szCs w:val="18"/>
              </w:rPr>
              <w:t>号地块：大于</w:t>
            </w:r>
            <w:r w:rsidRPr="004E409D">
              <w:rPr>
                <w:rFonts w:ascii="Times New Roman" w:eastAsia="宋体" w:hAnsi="Times New Roman" w:cs="Times New Roman"/>
                <w:color w:val="000000"/>
                <w:kern w:val="0"/>
                <w:sz w:val="18"/>
                <w:szCs w:val="18"/>
              </w:rPr>
              <w:t>120</w:t>
            </w:r>
            <w:r w:rsidRPr="004E409D">
              <w:rPr>
                <w:rFonts w:ascii="宋体" w:eastAsia="宋体" w:hAnsi="宋体" w:cs="宋体" w:hint="eastAsia"/>
                <w:color w:val="000000"/>
                <w:kern w:val="0"/>
                <w:sz w:val="18"/>
                <w:szCs w:val="18"/>
              </w:rPr>
              <w:t>米，不大于</w:t>
            </w:r>
            <w:r w:rsidRPr="004E409D">
              <w:rPr>
                <w:rFonts w:ascii="Times New Roman" w:eastAsia="宋体" w:hAnsi="Times New Roman" w:cs="Times New Roman"/>
                <w:color w:val="000000"/>
                <w:kern w:val="0"/>
                <w:sz w:val="18"/>
                <w:szCs w:val="18"/>
              </w:rPr>
              <w:t>140</w:t>
            </w:r>
            <w:r w:rsidRPr="004E409D">
              <w:rPr>
                <w:rFonts w:ascii="宋体" w:eastAsia="宋体" w:hAnsi="宋体" w:cs="宋体" w:hint="eastAsia"/>
                <w:color w:val="000000"/>
                <w:kern w:val="0"/>
                <w:sz w:val="18"/>
                <w:szCs w:val="18"/>
              </w:rPr>
              <w:t>米；</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2</w:t>
            </w:r>
            <w:r w:rsidRPr="004E409D">
              <w:rPr>
                <w:rFonts w:ascii="宋体" w:eastAsia="宋体" w:hAnsi="宋体" w:cs="宋体" w:hint="eastAsia"/>
                <w:color w:val="000000"/>
                <w:kern w:val="0"/>
                <w:sz w:val="18"/>
                <w:szCs w:val="18"/>
              </w:rPr>
              <w:t>号地块：大于</w:t>
            </w:r>
            <w:r w:rsidRPr="004E409D">
              <w:rPr>
                <w:rFonts w:ascii="Times New Roman" w:eastAsia="宋体" w:hAnsi="Times New Roman" w:cs="Times New Roman"/>
                <w:color w:val="000000"/>
                <w:kern w:val="0"/>
                <w:sz w:val="18"/>
                <w:szCs w:val="18"/>
              </w:rPr>
              <w:t>80</w:t>
            </w:r>
            <w:r w:rsidRPr="004E409D">
              <w:rPr>
                <w:rFonts w:ascii="宋体" w:eastAsia="宋体" w:hAnsi="宋体" w:cs="宋体" w:hint="eastAsia"/>
                <w:color w:val="000000"/>
                <w:kern w:val="0"/>
                <w:sz w:val="18"/>
                <w:szCs w:val="18"/>
              </w:rPr>
              <w:t>米，不大于</w:t>
            </w:r>
            <w:r w:rsidRPr="004E409D">
              <w:rPr>
                <w:rFonts w:ascii="Times New Roman" w:eastAsia="宋体" w:hAnsi="Times New Roman" w:cs="Times New Roman"/>
                <w:color w:val="000000"/>
                <w:kern w:val="0"/>
                <w:sz w:val="18"/>
                <w:szCs w:val="18"/>
              </w:rPr>
              <w:t>110</w:t>
            </w:r>
            <w:r w:rsidRPr="004E409D">
              <w:rPr>
                <w:rFonts w:ascii="宋体" w:eastAsia="宋体" w:hAnsi="宋体" w:cs="宋体" w:hint="eastAsia"/>
                <w:color w:val="000000"/>
                <w:kern w:val="0"/>
                <w:sz w:val="18"/>
                <w:szCs w:val="18"/>
              </w:rPr>
              <w:t>米；</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3</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4</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5</w:t>
            </w:r>
            <w:r w:rsidRPr="004E409D">
              <w:rPr>
                <w:rFonts w:ascii="宋体" w:eastAsia="宋体" w:hAnsi="宋体" w:cs="宋体" w:hint="eastAsia"/>
                <w:color w:val="000000"/>
                <w:kern w:val="0"/>
                <w:sz w:val="18"/>
                <w:szCs w:val="18"/>
              </w:rPr>
              <w:t>号、</w:t>
            </w:r>
            <w:r w:rsidRPr="004E409D">
              <w:rPr>
                <w:rFonts w:ascii="Times New Roman" w:eastAsia="宋体" w:hAnsi="Times New Roman" w:cs="Times New Roman"/>
                <w:color w:val="000000"/>
                <w:kern w:val="0"/>
                <w:sz w:val="18"/>
                <w:szCs w:val="18"/>
              </w:rPr>
              <w:t>6</w:t>
            </w:r>
            <w:r w:rsidRPr="004E409D">
              <w:rPr>
                <w:rFonts w:ascii="宋体" w:eastAsia="宋体" w:hAnsi="宋体" w:cs="宋体" w:hint="eastAsia"/>
                <w:color w:val="000000"/>
                <w:kern w:val="0"/>
                <w:sz w:val="18"/>
                <w:szCs w:val="18"/>
              </w:rPr>
              <w:t>号地块：用地设置后退楠木街</w:t>
            </w:r>
            <w:r w:rsidRPr="004E409D">
              <w:rPr>
                <w:rFonts w:ascii="Times New Roman" w:eastAsia="宋体" w:hAnsi="Times New Roman" w:cs="Times New Roman"/>
                <w:color w:val="000000"/>
                <w:kern w:val="0"/>
                <w:sz w:val="18"/>
                <w:szCs w:val="18"/>
              </w:rPr>
              <w:t>23</w:t>
            </w:r>
            <w:r w:rsidRPr="004E409D">
              <w:rPr>
                <w:rFonts w:ascii="宋体" w:eastAsia="宋体" w:hAnsi="宋体" w:cs="宋体" w:hint="eastAsia"/>
                <w:color w:val="000000"/>
                <w:kern w:val="0"/>
                <w:sz w:val="18"/>
                <w:szCs w:val="18"/>
              </w:rPr>
              <w:t>米的</w:t>
            </w:r>
            <w:r w:rsidRPr="004E409D">
              <w:rPr>
                <w:rFonts w:ascii="宋体" w:eastAsia="宋体" w:hAnsi="宋体" w:cs="宋体" w:hint="eastAsia"/>
                <w:color w:val="000000"/>
                <w:kern w:val="0"/>
                <w:sz w:val="18"/>
                <w:szCs w:val="18"/>
              </w:rPr>
              <w:lastRenderedPageBreak/>
              <w:t>建筑控制线，范围内建筑高度控制在</w:t>
            </w:r>
            <w:r w:rsidRPr="004E409D">
              <w:rPr>
                <w:rFonts w:ascii="Times New Roman" w:eastAsia="宋体" w:hAnsi="Times New Roman" w:cs="Times New Roman"/>
                <w:color w:val="000000"/>
                <w:kern w:val="0"/>
                <w:sz w:val="18"/>
                <w:szCs w:val="18"/>
              </w:rPr>
              <w:t>24</w:t>
            </w:r>
            <w:r w:rsidRPr="004E409D">
              <w:rPr>
                <w:rFonts w:ascii="宋体" w:eastAsia="宋体" w:hAnsi="宋体" w:cs="宋体" w:hint="eastAsia"/>
                <w:color w:val="000000"/>
                <w:kern w:val="0"/>
                <w:sz w:val="18"/>
                <w:szCs w:val="18"/>
              </w:rPr>
              <w:t>米以下；</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10</w:t>
            </w:r>
            <w:r w:rsidRPr="004E409D">
              <w:rPr>
                <w:rFonts w:ascii="宋体" w:eastAsia="宋体" w:hAnsi="宋体" w:cs="宋体" w:hint="eastAsia"/>
                <w:color w:val="000000"/>
                <w:kern w:val="0"/>
                <w:sz w:val="18"/>
                <w:szCs w:val="18"/>
              </w:rPr>
              <w:t>号地块：不高于</w:t>
            </w:r>
            <w:r w:rsidRPr="004E409D">
              <w:rPr>
                <w:rFonts w:ascii="Times New Roman" w:eastAsia="宋体" w:hAnsi="Times New Roman" w:cs="Times New Roman"/>
                <w:color w:val="000000"/>
                <w:kern w:val="0"/>
                <w:sz w:val="18"/>
                <w:szCs w:val="18"/>
              </w:rPr>
              <w:t>24</w:t>
            </w:r>
            <w:r w:rsidRPr="004E409D">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lastRenderedPageBreak/>
              <w:t>二类住宅用地、二类住宅用地兼容商业服务业设施用地、商业服务业设施用地、服务设施用地、服务设施用地（幼儿园）、公园绿地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t>134.2397</w:t>
            </w:r>
          </w:p>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宋体" w:eastAsia="宋体" w:hAnsi="宋体" w:cs="宋体" w:hint="eastAsia"/>
                <w:color w:val="000000"/>
                <w:kern w:val="0"/>
                <w:sz w:val="18"/>
                <w:szCs w:val="18"/>
              </w:rPr>
              <w:t>成都市规划和自然资源局</w:t>
            </w:r>
          </w:p>
        </w:tc>
      </w:tr>
    </w:tbl>
    <w:p w:rsidR="004E409D" w:rsidRPr="004E409D" w:rsidRDefault="004E409D" w:rsidP="004E409D">
      <w:pPr>
        <w:widowControl/>
        <w:spacing w:before="100" w:beforeAutospacing="1" w:after="100" w:afterAutospacing="1" w:line="285" w:lineRule="atLeast"/>
        <w:jc w:val="left"/>
        <w:rPr>
          <w:rFonts w:ascii="宋体" w:eastAsia="宋体" w:hAnsi="宋体" w:cs="宋体"/>
          <w:kern w:val="0"/>
          <w:sz w:val="24"/>
          <w:szCs w:val="24"/>
        </w:rPr>
      </w:pPr>
      <w:r w:rsidRPr="004E409D">
        <w:rPr>
          <w:rFonts w:ascii="Times New Roman" w:eastAsia="宋体" w:hAnsi="Times New Roman" w:cs="Times New Roman"/>
          <w:color w:val="000000"/>
          <w:kern w:val="0"/>
          <w:sz w:val="18"/>
          <w:szCs w:val="18"/>
        </w:rPr>
        <w:lastRenderedPageBreak/>
        <w:t xml:space="preserve">          </w:t>
      </w:r>
      <w:r w:rsidRPr="004E409D">
        <w:rPr>
          <w:rFonts w:ascii="宋体" w:eastAsia="宋体" w:hAnsi="宋体" w:cs="Times New Roman"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r w:rsidRPr="004E409D">
        <w:rPr>
          <w:rFonts w:ascii="宋体" w:eastAsia="宋体" w:hAnsi="宋体" w:cs="宋体" w:hint="eastAsia"/>
          <w:kern w:val="0"/>
          <w:sz w:val="24"/>
          <w:szCs w:val="24"/>
        </w:rPr>
        <w:t>    三、申请参加本公告多宗土地竞买的，竞买保证金须按所竞买宗地对应金额足额缴纳。拍卖以增价方式自由竞价。</w:t>
      </w:r>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r w:rsidRPr="004E409D">
        <w:rPr>
          <w:rFonts w:ascii="宋体" w:eastAsia="宋体" w:hAnsi="宋体" w:cs="宋体" w:hint="eastAsia"/>
          <w:kern w:val="0"/>
          <w:sz w:val="24"/>
          <w:szCs w:val="24"/>
        </w:rPr>
        <w:lastRenderedPageBreak/>
        <w:t>    四、本次国有建设用地使用权拍卖出让实行网上报名（缴纳外币竞买保证金的除外），竞买申请人可通过成都市公共资源交易服务中心门户网站（http://www.cdggzy.com/）查阅网上报名用户注册及网上报名操作指南，并于2019年06月26日起下载出让文件。</w:t>
      </w:r>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r w:rsidRPr="004E409D">
        <w:rPr>
          <w:rFonts w:ascii="宋体" w:eastAsia="宋体" w:hAnsi="宋体" w:cs="宋体" w:hint="eastAsia"/>
          <w:kern w:val="0"/>
          <w:sz w:val="24"/>
          <w:szCs w:val="24"/>
        </w:rPr>
        <w:t>    五、已注册为网上报名用户的竞买申请人须在2019年07月10日16时之前足额交纳竞买保证金，2019年07月10日16时30分之前通过成都市公共资源交易服务中心门户网站（http://www.cdggzy.com/）土地交易网上报名系统完成网上报名手续。（报名咨询电话：028-85987887）</w:t>
      </w:r>
    </w:p>
    <w:p w:rsidR="004E409D" w:rsidRPr="004E409D" w:rsidRDefault="004E409D" w:rsidP="004E409D">
      <w:pPr>
        <w:widowControl/>
        <w:spacing w:before="100" w:beforeAutospacing="1" w:after="100" w:afterAutospacing="1"/>
        <w:ind w:firstLine="480"/>
        <w:jc w:val="left"/>
        <w:rPr>
          <w:rFonts w:ascii="宋体" w:eastAsia="宋体" w:hAnsi="宋体" w:cs="宋体"/>
          <w:kern w:val="0"/>
          <w:sz w:val="24"/>
          <w:szCs w:val="24"/>
        </w:rPr>
      </w:pPr>
      <w:r w:rsidRPr="004E409D">
        <w:rPr>
          <w:rFonts w:ascii="宋体" w:eastAsia="宋体" w:hAnsi="宋体" w:cs="宋体" w:hint="eastAsia"/>
          <w:kern w:val="0"/>
          <w:sz w:val="24"/>
          <w:szCs w:val="24"/>
        </w:rPr>
        <w:t>六、按照住房和城乡建设部、国土资源部《关于加强近期住房及用地供应管理和调控有关工作的通知》（建房〔2017〕80号）相关要求，意向竞买人报名参与WH07(211/251):2019-021、LQY01（251/211）：2019-035号宗地竞买，须提供《竞买保证金来源承诺书》和《关于竞买保证金资金来源情况的审查报告》（须带二维码，以下简称《审查报告》），作为取得竞买资格及领取竞买号牌的要件。</w:t>
      </w:r>
    </w:p>
    <w:p w:rsidR="004E409D" w:rsidRPr="004E409D" w:rsidRDefault="004E409D" w:rsidP="004E409D">
      <w:pPr>
        <w:widowControl/>
        <w:spacing w:before="100" w:beforeAutospacing="1" w:after="100" w:afterAutospacing="1"/>
        <w:ind w:firstLine="480"/>
        <w:jc w:val="left"/>
        <w:rPr>
          <w:rFonts w:ascii="宋体" w:eastAsia="宋体" w:hAnsi="宋体" w:cs="宋体"/>
          <w:kern w:val="0"/>
          <w:sz w:val="24"/>
          <w:szCs w:val="24"/>
        </w:rPr>
      </w:pPr>
      <w:r w:rsidRPr="004E409D">
        <w:rPr>
          <w:rFonts w:ascii="宋体" w:eastAsia="宋体" w:hAnsi="宋体" w:cs="宋体" w:hint="eastAsia"/>
          <w:kern w:val="0"/>
          <w:sz w:val="24"/>
          <w:szCs w:val="24"/>
        </w:rPr>
        <w:t>七、《审查报告》</w:t>
      </w:r>
      <w:proofErr w:type="gramStart"/>
      <w:r w:rsidRPr="004E409D">
        <w:rPr>
          <w:rFonts w:ascii="宋体" w:eastAsia="宋体" w:hAnsi="宋体" w:cs="宋体" w:hint="eastAsia"/>
          <w:kern w:val="0"/>
          <w:sz w:val="24"/>
          <w:szCs w:val="24"/>
        </w:rPr>
        <w:t>须作为</w:t>
      </w:r>
      <w:proofErr w:type="gramEnd"/>
      <w:r w:rsidRPr="004E409D">
        <w:rPr>
          <w:rFonts w:ascii="宋体" w:eastAsia="宋体" w:hAnsi="宋体" w:cs="宋体" w:hint="eastAsia"/>
          <w:kern w:val="0"/>
          <w:sz w:val="24"/>
          <w:szCs w:val="24"/>
        </w:rPr>
        <w:t>《竞买保证金来源承诺书》的附件，竞买人每报名</w:t>
      </w:r>
      <w:proofErr w:type="gramStart"/>
      <w:r w:rsidRPr="004E409D">
        <w:rPr>
          <w:rFonts w:ascii="宋体" w:eastAsia="宋体" w:hAnsi="宋体" w:cs="宋体" w:hint="eastAsia"/>
          <w:kern w:val="0"/>
          <w:sz w:val="24"/>
          <w:szCs w:val="24"/>
        </w:rPr>
        <w:t>一宗地须对应</w:t>
      </w:r>
      <w:proofErr w:type="gramEnd"/>
      <w:r w:rsidRPr="004E409D">
        <w:rPr>
          <w:rFonts w:ascii="宋体" w:eastAsia="宋体" w:hAnsi="宋体" w:cs="宋体" w:hint="eastAsia"/>
          <w:kern w:val="0"/>
          <w:sz w:val="24"/>
          <w:szCs w:val="24"/>
        </w:rPr>
        <w:t>提交一份《审查报告》。《审查报告》须由《四川省注册会计师协会关于发布四川省2018 年度会计师事务所综合评级情况的通告》（</w:t>
      </w:r>
      <w:proofErr w:type="gramStart"/>
      <w:r w:rsidRPr="004E409D">
        <w:rPr>
          <w:rFonts w:ascii="宋体" w:eastAsia="宋体" w:hAnsi="宋体" w:cs="宋体" w:hint="eastAsia"/>
          <w:kern w:val="0"/>
          <w:sz w:val="24"/>
          <w:szCs w:val="24"/>
        </w:rPr>
        <w:t>川注协</w:t>
      </w:r>
      <w:proofErr w:type="gramEnd"/>
      <w:r w:rsidRPr="004E409D">
        <w:rPr>
          <w:rFonts w:ascii="宋体" w:eastAsia="宋体" w:hAnsi="宋体" w:cs="宋体" w:hint="eastAsia"/>
          <w:kern w:val="0"/>
          <w:sz w:val="24"/>
          <w:szCs w:val="24"/>
        </w:rPr>
        <w:t>〔2018〕74号）明确的A级以上（即A级、AA级、AAA级）会计师事务所及注册会计师</w:t>
      </w:r>
      <w:proofErr w:type="gramStart"/>
      <w:r w:rsidRPr="004E409D">
        <w:rPr>
          <w:rFonts w:ascii="宋体" w:eastAsia="宋体" w:hAnsi="宋体" w:cs="宋体" w:hint="eastAsia"/>
          <w:kern w:val="0"/>
          <w:sz w:val="24"/>
          <w:szCs w:val="24"/>
        </w:rPr>
        <w:t>鉴证</w:t>
      </w:r>
      <w:proofErr w:type="gramEnd"/>
      <w:r w:rsidRPr="004E409D">
        <w:rPr>
          <w:rFonts w:ascii="宋体" w:eastAsia="宋体" w:hAnsi="宋体" w:cs="宋体" w:hint="eastAsia"/>
          <w:kern w:val="0"/>
          <w:sz w:val="24"/>
          <w:szCs w:val="24"/>
        </w:rPr>
        <w:t>，《审查报告》中除封面外的</w:t>
      </w:r>
      <w:proofErr w:type="gramStart"/>
      <w:r w:rsidRPr="004E409D">
        <w:rPr>
          <w:rFonts w:ascii="宋体" w:eastAsia="宋体" w:hAnsi="宋体" w:cs="宋体" w:hint="eastAsia"/>
          <w:kern w:val="0"/>
          <w:sz w:val="24"/>
          <w:szCs w:val="24"/>
        </w:rPr>
        <w:t>首页须</w:t>
      </w:r>
      <w:proofErr w:type="gramEnd"/>
      <w:r w:rsidRPr="004E409D">
        <w:rPr>
          <w:rFonts w:ascii="宋体" w:eastAsia="宋体" w:hAnsi="宋体" w:cs="宋体" w:hint="eastAsia"/>
          <w:kern w:val="0"/>
          <w:sz w:val="24"/>
          <w:szCs w:val="24"/>
        </w:rPr>
        <w:t>按模板明确审查意见结论。（《竞买保证金来源承诺书》、《审查报告审查意见页模板》、</w:t>
      </w:r>
      <w:proofErr w:type="gramStart"/>
      <w:r w:rsidRPr="004E409D">
        <w:rPr>
          <w:rFonts w:ascii="宋体" w:eastAsia="宋体" w:hAnsi="宋体" w:cs="宋体" w:hint="eastAsia"/>
          <w:kern w:val="0"/>
          <w:sz w:val="24"/>
          <w:szCs w:val="24"/>
        </w:rPr>
        <w:t>川注协</w:t>
      </w:r>
      <w:proofErr w:type="gramEnd"/>
      <w:r w:rsidRPr="004E409D">
        <w:rPr>
          <w:rFonts w:ascii="宋体" w:eastAsia="宋体" w:hAnsi="宋体" w:cs="宋体" w:hint="eastAsia"/>
          <w:kern w:val="0"/>
          <w:sz w:val="24"/>
          <w:szCs w:val="24"/>
        </w:rPr>
        <w:t>〔2018〕74号文，下载地址：http://www.cdggzy.com/）</w:t>
      </w:r>
    </w:p>
    <w:p w:rsidR="004E409D" w:rsidRPr="004E409D" w:rsidRDefault="004E409D" w:rsidP="004E409D">
      <w:pPr>
        <w:widowControl/>
        <w:spacing w:before="100" w:beforeAutospacing="1" w:after="100" w:afterAutospacing="1"/>
        <w:ind w:firstLine="480"/>
        <w:jc w:val="left"/>
        <w:rPr>
          <w:rFonts w:ascii="宋体" w:eastAsia="宋体" w:hAnsi="宋体" w:cs="宋体"/>
          <w:kern w:val="0"/>
          <w:sz w:val="24"/>
          <w:szCs w:val="24"/>
        </w:rPr>
      </w:pPr>
      <w:r w:rsidRPr="004E409D">
        <w:rPr>
          <w:rFonts w:ascii="宋体" w:eastAsia="宋体" w:hAnsi="宋体" w:cs="宋体" w:hint="eastAsia"/>
          <w:kern w:val="0"/>
          <w:sz w:val="24"/>
          <w:szCs w:val="24"/>
        </w:rPr>
        <w:t>八、须“持证准用”的竞得人，应按照《国有经营性建设用地使用权出让“持证准用”须知》要求提交相应面积的建设用地指标证书或缴纳相应面积的建设用地指标价款。（指标购买咨询电话：028-85987005）</w:t>
      </w:r>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r w:rsidRPr="004E409D">
        <w:rPr>
          <w:rFonts w:ascii="宋体" w:eastAsia="宋体" w:hAnsi="宋体" w:cs="宋体" w:hint="eastAsia"/>
          <w:kern w:val="0"/>
          <w:sz w:val="24"/>
          <w:szCs w:val="24"/>
        </w:rPr>
        <w:t>    九、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r w:rsidRPr="004E409D">
        <w:rPr>
          <w:rFonts w:ascii="宋体" w:eastAsia="宋体" w:hAnsi="宋体" w:cs="宋体" w:hint="eastAsia"/>
          <w:kern w:val="0"/>
          <w:sz w:val="24"/>
          <w:szCs w:val="24"/>
        </w:rPr>
        <w:t> </w:t>
      </w:r>
    </w:p>
    <w:p w:rsidR="004E409D" w:rsidRPr="004E409D" w:rsidRDefault="004E409D" w:rsidP="004E409D">
      <w:pPr>
        <w:widowControl/>
        <w:spacing w:before="100" w:beforeAutospacing="1" w:after="100" w:afterAutospacing="1" w:line="285" w:lineRule="atLeast"/>
        <w:ind w:firstLine="4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t xml:space="preserve">联系地址：成都市高新区天府大道北段966号天府国际金融中心7号楼     </w:t>
      </w:r>
    </w:p>
    <w:p w:rsidR="004E409D" w:rsidRPr="004E409D" w:rsidRDefault="004E409D" w:rsidP="004E409D">
      <w:pPr>
        <w:widowControl/>
        <w:spacing w:before="100" w:beforeAutospacing="1" w:after="100" w:afterAutospacing="1" w:line="285" w:lineRule="atLeast"/>
        <w:ind w:firstLine="4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t>详情见：  成都市公共资源交易服务中心（</w:t>
      </w:r>
      <w:hyperlink r:id="rId4" w:history="1">
        <w:r w:rsidRPr="004E409D">
          <w:rPr>
            <w:rFonts w:ascii="宋体" w:eastAsia="宋体" w:hAnsi="宋体" w:cs="宋体" w:hint="eastAsia"/>
            <w:color w:val="000000"/>
            <w:kern w:val="0"/>
            <w:sz w:val="24"/>
            <w:szCs w:val="24"/>
            <w:u w:val="single"/>
          </w:rPr>
          <w:t>http://www.cdggzy.com/</w:t>
        </w:r>
      </w:hyperlink>
      <w:r w:rsidRPr="004E409D">
        <w:rPr>
          <w:rFonts w:ascii="宋体" w:eastAsia="宋体" w:hAnsi="宋体" w:cs="宋体" w:hint="eastAsia"/>
          <w:color w:val="000000"/>
          <w:kern w:val="0"/>
          <w:sz w:val="24"/>
          <w:szCs w:val="24"/>
        </w:rPr>
        <w:t>）        四川省自然资源厅（</w:t>
      </w:r>
      <w:hyperlink r:id="rId5" w:history="1">
        <w:r w:rsidRPr="004E409D">
          <w:rPr>
            <w:rFonts w:ascii="宋体" w:eastAsia="宋体" w:hAnsi="宋体" w:cs="宋体" w:hint="eastAsia"/>
            <w:color w:val="000000"/>
            <w:kern w:val="0"/>
            <w:sz w:val="24"/>
            <w:szCs w:val="24"/>
            <w:u w:val="single"/>
          </w:rPr>
          <w:t>http://www.scdlr.gov.cn</w:t>
        </w:r>
      </w:hyperlink>
      <w:r w:rsidRPr="004E409D">
        <w:rPr>
          <w:rFonts w:ascii="宋体" w:eastAsia="宋体" w:hAnsi="宋体" w:cs="宋体" w:hint="eastAsia"/>
          <w:color w:val="000000"/>
          <w:kern w:val="0"/>
          <w:sz w:val="24"/>
          <w:szCs w:val="24"/>
        </w:rPr>
        <w:t xml:space="preserve">）                 </w:t>
      </w:r>
    </w:p>
    <w:p w:rsidR="004E409D" w:rsidRPr="004E409D" w:rsidRDefault="004E409D" w:rsidP="004E409D">
      <w:pPr>
        <w:widowControl/>
        <w:spacing w:before="100" w:beforeAutospacing="1" w:after="100" w:afterAutospacing="1" w:line="285" w:lineRule="atLeast"/>
        <w:ind w:firstLine="16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lastRenderedPageBreak/>
        <w:t>成都市规划和自然资源局（</w:t>
      </w:r>
      <w:hyperlink r:id="rId6" w:history="1">
        <w:r w:rsidRPr="004E409D">
          <w:rPr>
            <w:rFonts w:ascii="宋体" w:eastAsia="宋体" w:hAnsi="宋体" w:cs="宋体" w:hint="eastAsia"/>
            <w:color w:val="000000"/>
            <w:kern w:val="0"/>
            <w:sz w:val="24"/>
            <w:szCs w:val="24"/>
            <w:u w:val="single"/>
          </w:rPr>
          <w:t>http://www.cdlr.gov.cn</w:t>
        </w:r>
      </w:hyperlink>
      <w:r w:rsidRPr="004E409D">
        <w:rPr>
          <w:rFonts w:ascii="宋体" w:eastAsia="宋体" w:hAnsi="宋体" w:cs="宋体" w:hint="eastAsia"/>
          <w:color w:val="000000"/>
          <w:kern w:val="0"/>
          <w:sz w:val="24"/>
          <w:szCs w:val="24"/>
        </w:rPr>
        <w:t>）            中国土地市场网（http://</w:t>
      </w:r>
      <w:hyperlink r:id="rId7" w:history="1">
        <w:r w:rsidRPr="004E409D">
          <w:rPr>
            <w:rFonts w:ascii="宋体" w:eastAsia="宋体" w:hAnsi="宋体" w:cs="宋体" w:hint="eastAsia"/>
            <w:color w:val="000000"/>
            <w:kern w:val="0"/>
            <w:sz w:val="24"/>
            <w:szCs w:val="24"/>
            <w:u w:val="single"/>
          </w:rPr>
          <w:t>www.landchina.com</w:t>
        </w:r>
      </w:hyperlink>
      <w:r w:rsidRPr="004E409D">
        <w:rPr>
          <w:rFonts w:ascii="宋体" w:eastAsia="宋体" w:hAnsi="宋体" w:cs="宋体" w:hint="eastAsia"/>
          <w:color w:val="000000"/>
          <w:kern w:val="0"/>
          <w:sz w:val="24"/>
          <w:szCs w:val="24"/>
        </w:rPr>
        <w:t>）                </w:t>
      </w:r>
    </w:p>
    <w:p w:rsidR="004E409D" w:rsidRPr="004E409D" w:rsidRDefault="004E409D" w:rsidP="004E409D">
      <w:pPr>
        <w:widowControl/>
        <w:spacing w:before="100" w:beforeAutospacing="1" w:after="100" w:afterAutospacing="1" w:line="285" w:lineRule="atLeast"/>
        <w:ind w:firstLine="16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t>成都市规划和自然资源局(咨询电话：028-61889199；61884144；61884135；监督电话：028-85987211)</w:t>
      </w:r>
    </w:p>
    <w:p w:rsidR="004E409D" w:rsidRPr="004E409D" w:rsidRDefault="004E409D" w:rsidP="004E409D">
      <w:pPr>
        <w:widowControl/>
        <w:spacing w:before="100" w:beforeAutospacing="1" w:after="100" w:afterAutospacing="1" w:line="285" w:lineRule="atLeast"/>
        <w:ind w:firstLine="4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t> </w:t>
      </w:r>
    </w:p>
    <w:p w:rsidR="004E409D" w:rsidRPr="004E409D" w:rsidRDefault="004E409D" w:rsidP="004E409D">
      <w:pPr>
        <w:widowControl/>
        <w:spacing w:before="100" w:beforeAutospacing="1" w:after="100" w:afterAutospacing="1" w:line="285" w:lineRule="atLeast"/>
        <w:ind w:firstLine="480"/>
        <w:jc w:val="left"/>
        <w:rPr>
          <w:rFonts w:ascii="宋体" w:eastAsia="宋体" w:hAnsi="宋体" w:cs="宋体"/>
          <w:kern w:val="0"/>
          <w:sz w:val="24"/>
          <w:szCs w:val="24"/>
        </w:rPr>
      </w:pPr>
      <w:r w:rsidRPr="004E409D">
        <w:rPr>
          <w:rFonts w:ascii="宋体" w:eastAsia="宋体" w:hAnsi="宋体" w:cs="宋体" w:hint="eastAsia"/>
          <w:color w:val="000000"/>
          <w:kern w:val="0"/>
          <w:sz w:val="24"/>
          <w:szCs w:val="24"/>
        </w:rPr>
        <w:t> </w:t>
      </w:r>
    </w:p>
    <w:p w:rsidR="004E409D" w:rsidRPr="004E409D" w:rsidRDefault="004E409D" w:rsidP="004E409D">
      <w:pPr>
        <w:widowControl/>
        <w:spacing w:before="100" w:beforeAutospacing="1" w:after="100" w:afterAutospacing="1" w:line="285" w:lineRule="atLeast"/>
        <w:ind w:firstLine="480"/>
        <w:jc w:val="right"/>
        <w:rPr>
          <w:rFonts w:ascii="宋体" w:eastAsia="宋体" w:hAnsi="宋体" w:cs="宋体"/>
          <w:kern w:val="0"/>
          <w:sz w:val="24"/>
          <w:szCs w:val="24"/>
        </w:rPr>
      </w:pPr>
      <w:r w:rsidRPr="004E409D">
        <w:rPr>
          <w:rFonts w:ascii="Calibri" w:eastAsia="宋体" w:hAnsi="Calibri" w:cs="宋体"/>
          <w:color w:val="000000"/>
          <w:kern w:val="0"/>
          <w:sz w:val="24"/>
          <w:szCs w:val="24"/>
        </w:rPr>
        <w:t>                                                                                </w:t>
      </w:r>
      <w:r w:rsidRPr="004E409D">
        <w:rPr>
          <w:rFonts w:ascii="宋体" w:eastAsia="宋体" w:hAnsi="宋体" w:cs="宋体" w:hint="eastAsia"/>
          <w:color w:val="000000"/>
          <w:kern w:val="0"/>
          <w:sz w:val="24"/>
          <w:szCs w:val="24"/>
        </w:rPr>
        <w:t>成都市公共资源交易服务中心</w:t>
      </w:r>
    </w:p>
    <w:p w:rsidR="004E409D" w:rsidRPr="004E409D" w:rsidRDefault="004E409D" w:rsidP="004E409D">
      <w:pPr>
        <w:widowControl/>
        <w:spacing w:before="100" w:beforeAutospacing="1" w:after="100" w:afterAutospacing="1" w:line="285" w:lineRule="atLeast"/>
        <w:ind w:firstLine="480"/>
        <w:jc w:val="right"/>
        <w:rPr>
          <w:rFonts w:ascii="宋体" w:eastAsia="宋体" w:hAnsi="宋体" w:cs="宋体"/>
          <w:kern w:val="0"/>
          <w:sz w:val="24"/>
          <w:szCs w:val="24"/>
        </w:rPr>
      </w:pPr>
      <w:r w:rsidRPr="004E409D">
        <w:rPr>
          <w:rFonts w:ascii="Calibri" w:eastAsia="宋体" w:hAnsi="Calibri" w:cs="宋体"/>
          <w:color w:val="000000"/>
          <w:kern w:val="0"/>
          <w:sz w:val="24"/>
          <w:szCs w:val="24"/>
        </w:rPr>
        <w:t>                                                                                    2019</w:t>
      </w:r>
      <w:r w:rsidRPr="004E409D">
        <w:rPr>
          <w:rFonts w:ascii="宋体" w:eastAsia="宋体" w:hAnsi="宋体" w:cs="宋体" w:hint="eastAsia"/>
          <w:color w:val="000000"/>
          <w:kern w:val="0"/>
          <w:sz w:val="24"/>
          <w:szCs w:val="24"/>
        </w:rPr>
        <w:t>年</w:t>
      </w:r>
      <w:r w:rsidRPr="004E409D">
        <w:rPr>
          <w:rFonts w:ascii="Calibri" w:eastAsia="宋体" w:hAnsi="Calibri" w:cs="宋体"/>
          <w:color w:val="000000"/>
          <w:kern w:val="0"/>
          <w:sz w:val="24"/>
          <w:szCs w:val="24"/>
        </w:rPr>
        <w:t>6</w:t>
      </w:r>
      <w:r w:rsidRPr="004E409D">
        <w:rPr>
          <w:rFonts w:ascii="宋体" w:eastAsia="宋体" w:hAnsi="宋体" w:cs="宋体" w:hint="eastAsia"/>
          <w:color w:val="000000"/>
          <w:kern w:val="0"/>
          <w:sz w:val="24"/>
          <w:szCs w:val="24"/>
        </w:rPr>
        <w:t>月</w:t>
      </w:r>
      <w:r w:rsidRPr="004E409D">
        <w:rPr>
          <w:rFonts w:ascii="Calibri" w:eastAsia="宋体" w:hAnsi="Calibri" w:cs="宋体"/>
          <w:color w:val="000000"/>
          <w:kern w:val="0"/>
          <w:sz w:val="24"/>
          <w:szCs w:val="24"/>
        </w:rPr>
        <w:t>21</w:t>
      </w:r>
      <w:r w:rsidRPr="004E409D">
        <w:rPr>
          <w:rFonts w:ascii="宋体" w:eastAsia="宋体" w:hAnsi="宋体" w:cs="宋体" w:hint="eastAsia"/>
          <w:color w:val="000000"/>
          <w:kern w:val="0"/>
          <w:sz w:val="24"/>
          <w:szCs w:val="24"/>
        </w:rPr>
        <w:t>日</w:t>
      </w:r>
    </w:p>
    <w:p w:rsidR="004E409D" w:rsidRPr="004E409D" w:rsidRDefault="004E409D" w:rsidP="004E409D">
      <w:pPr>
        <w:widowControl/>
        <w:spacing w:before="100" w:beforeAutospacing="1" w:after="100" w:afterAutospacing="1" w:line="285" w:lineRule="atLeast"/>
        <w:ind w:firstLine="480"/>
        <w:jc w:val="center"/>
        <w:rPr>
          <w:rFonts w:ascii="宋体" w:eastAsia="宋体" w:hAnsi="宋体" w:cs="宋体"/>
          <w:kern w:val="0"/>
          <w:sz w:val="24"/>
          <w:szCs w:val="24"/>
        </w:rPr>
      </w:pPr>
    </w:p>
    <w:p w:rsidR="004E409D" w:rsidRPr="004E409D" w:rsidRDefault="004E409D" w:rsidP="004E409D">
      <w:pPr>
        <w:widowControl/>
        <w:spacing w:before="100" w:beforeAutospacing="1" w:after="100" w:afterAutospacing="1"/>
        <w:jc w:val="center"/>
        <w:rPr>
          <w:rFonts w:ascii="宋体" w:eastAsia="宋体" w:hAnsi="宋体" w:cs="宋体"/>
          <w:kern w:val="0"/>
          <w:sz w:val="24"/>
          <w:szCs w:val="24"/>
        </w:rPr>
      </w:pPr>
      <w:r w:rsidRPr="004E409D">
        <w:rPr>
          <w:rFonts w:ascii="宋体" w:eastAsia="宋体" w:hAnsi="宋体" w:cs="宋体"/>
          <w:noProof/>
          <w:kern w:val="0"/>
          <w:sz w:val="24"/>
          <w:szCs w:val="24"/>
        </w:rPr>
        <w:drawing>
          <wp:inline distT="0" distB="0" distL="0" distR="0">
            <wp:extent cx="5715000" cy="5438775"/>
            <wp:effectExtent l="0" t="0" r="0" b="9525"/>
            <wp:docPr id="5" name="图片 5" descr="https://www.cdggzy.com/cdzczy/ueditor/netfile/upload/2019-06-21/c60332a1-edd2-49b8-8f5d-e841d1350c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06-21/c60332a1-edd2-49b8-8f5d-e841d1350c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438775"/>
                    </a:xfrm>
                    <a:prstGeom prst="rect">
                      <a:avLst/>
                    </a:prstGeom>
                    <a:noFill/>
                    <a:ln>
                      <a:noFill/>
                    </a:ln>
                  </pic:spPr>
                </pic:pic>
              </a:graphicData>
            </a:graphic>
          </wp:inline>
        </w:drawing>
      </w:r>
    </w:p>
    <w:p w:rsidR="004E409D" w:rsidRPr="004E409D" w:rsidRDefault="004E409D" w:rsidP="004E409D">
      <w:pPr>
        <w:widowControl/>
        <w:spacing w:before="100" w:beforeAutospacing="1" w:after="100" w:afterAutospacing="1"/>
        <w:jc w:val="center"/>
        <w:rPr>
          <w:rFonts w:ascii="宋体" w:eastAsia="宋体" w:hAnsi="宋体" w:cs="宋体"/>
          <w:kern w:val="0"/>
          <w:sz w:val="24"/>
          <w:szCs w:val="24"/>
        </w:rPr>
      </w:pPr>
      <w:r w:rsidRPr="004E409D">
        <w:rPr>
          <w:rFonts w:ascii="宋体" w:eastAsia="宋体" w:hAnsi="宋体" w:cs="宋体"/>
          <w:noProof/>
          <w:kern w:val="0"/>
          <w:sz w:val="24"/>
          <w:szCs w:val="24"/>
        </w:rPr>
        <w:lastRenderedPageBreak/>
        <w:drawing>
          <wp:inline distT="0" distB="0" distL="0" distR="0">
            <wp:extent cx="5715000" cy="5191125"/>
            <wp:effectExtent l="0" t="0" r="0" b="9525"/>
            <wp:docPr id="4" name="图片 4" descr="https://www.cdggzy.com/cdzczy/ueditor/netfile/upload/2019-06-21/d1df11a2-55ed-4f8c-8a4b-81f3a603d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19-06-21/d1df11a2-55ed-4f8c-8a4b-81f3a603d9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191125"/>
                    </a:xfrm>
                    <a:prstGeom prst="rect">
                      <a:avLst/>
                    </a:prstGeom>
                    <a:noFill/>
                    <a:ln>
                      <a:noFill/>
                    </a:ln>
                  </pic:spPr>
                </pic:pic>
              </a:graphicData>
            </a:graphic>
          </wp:inline>
        </w:drawing>
      </w:r>
    </w:p>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noProof/>
          <w:kern w:val="0"/>
          <w:sz w:val="24"/>
          <w:szCs w:val="24"/>
        </w:rPr>
        <w:drawing>
          <wp:inline distT="0" distB="0" distL="0" distR="0">
            <wp:extent cx="152400" cy="152400"/>
            <wp:effectExtent l="0" t="0" r="0" b="0"/>
            <wp:docPr id="3" name="图片 3"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dggzy.com/cdzczy/ueditor/dialogs/attachment/fileTypeImages/icon_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Pr="004E409D">
          <w:rPr>
            <w:rFonts w:ascii="宋体" w:eastAsia="宋体" w:hAnsi="宋体" w:cs="宋体"/>
            <w:color w:val="0000FF"/>
            <w:kern w:val="0"/>
            <w:sz w:val="24"/>
            <w:szCs w:val="24"/>
            <w:u w:val="single"/>
          </w:rPr>
          <w:t>竞买保证金来源承诺书模板.</w:t>
        </w:r>
        <w:proofErr w:type="gramStart"/>
        <w:r w:rsidRPr="004E409D">
          <w:rPr>
            <w:rFonts w:ascii="宋体" w:eastAsia="宋体" w:hAnsi="宋体" w:cs="宋体"/>
            <w:color w:val="0000FF"/>
            <w:kern w:val="0"/>
            <w:sz w:val="24"/>
            <w:szCs w:val="24"/>
            <w:u w:val="single"/>
          </w:rPr>
          <w:t>pdf</w:t>
        </w:r>
        <w:proofErr w:type="gramEnd"/>
      </w:hyperlink>
    </w:p>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noProof/>
          <w:kern w:val="0"/>
          <w:sz w:val="24"/>
          <w:szCs w:val="24"/>
        </w:rPr>
        <w:drawing>
          <wp:inline distT="0" distB="0" distL="0" distR="0">
            <wp:extent cx="152400" cy="152400"/>
            <wp:effectExtent l="0" t="0" r="0" b="0"/>
            <wp:docPr id="2" name="图片 2"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dggzy.com/cdzczy/ueditor/dialogs/attachment/fileTypeImages/icon_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4E409D">
          <w:rPr>
            <w:rFonts w:ascii="宋体" w:eastAsia="宋体" w:hAnsi="宋体" w:cs="宋体"/>
            <w:color w:val="0000FF"/>
            <w:kern w:val="0"/>
            <w:sz w:val="24"/>
            <w:szCs w:val="24"/>
            <w:u w:val="single"/>
          </w:rPr>
          <w:t>审查报告结论性审查意见页（模板）.</w:t>
        </w:r>
        <w:proofErr w:type="gramStart"/>
        <w:r w:rsidRPr="004E409D">
          <w:rPr>
            <w:rFonts w:ascii="宋体" w:eastAsia="宋体" w:hAnsi="宋体" w:cs="宋体"/>
            <w:color w:val="0000FF"/>
            <w:kern w:val="0"/>
            <w:sz w:val="24"/>
            <w:szCs w:val="24"/>
            <w:u w:val="single"/>
          </w:rPr>
          <w:t>pdf</w:t>
        </w:r>
        <w:proofErr w:type="gramEnd"/>
      </w:hyperlink>
    </w:p>
    <w:p w:rsidR="004E409D" w:rsidRPr="004E409D" w:rsidRDefault="004E409D" w:rsidP="004E409D">
      <w:pPr>
        <w:widowControl/>
        <w:spacing w:before="100" w:beforeAutospacing="1" w:after="100" w:afterAutospacing="1" w:line="240" w:lineRule="atLeast"/>
        <w:jc w:val="left"/>
        <w:rPr>
          <w:rFonts w:ascii="宋体" w:eastAsia="宋体" w:hAnsi="宋体" w:cs="宋体"/>
          <w:kern w:val="0"/>
          <w:sz w:val="24"/>
          <w:szCs w:val="24"/>
        </w:rPr>
      </w:pPr>
      <w:r w:rsidRPr="004E409D">
        <w:rPr>
          <w:rFonts w:ascii="宋体" w:eastAsia="宋体" w:hAnsi="宋体" w:cs="宋体"/>
          <w:noProof/>
          <w:kern w:val="0"/>
          <w:sz w:val="24"/>
          <w:szCs w:val="24"/>
        </w:rPr>
        <w:drawing>
          <wp:inline distT="0" distB="0" distL="0" distR="0">
            <wp:extent cx="152400" cy="152400"/>
            <wp:effectExtent l="0" t="0" r="0" b="0"/>
            <wp:docPr id="1" name="图片 1"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dggzy.com/cdzczy/ueditor/dialogs/attachment/fileTypeImages/icon_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4E409D">
          <w:rPr>
            <w:rFonts w:ascii="宋体" w:eastAsia="宋体" w:hAnsi="宋体" w:cs="宋体"/>
            <w:color w:val="0000FF"/>
            <w:kern w:val="0"/>
            <w:sz w:val="24"/>
            <w:szCs w:val="24"/>
            <w:u w:val="single"/>
          </w:rPr>
          <w:t>四川省注册会计师协会关于发布四川省2018年度会计师事务所综合评级情况的通告.</w:t>
        </w:r>
        <w:proofErr w:type="gramStart"/>
        <w:r w:rsidRPr="004E409D">
          <w:rPr>
            <w:rFonts w:ascii="宋体" w:eastAsia="宋体" w:hAnsi="宋体" w:cs="宋体"/>
            <w:color w:val="0000FF"/>
            <w:kern w:val="0"/>
            <w:sz w:val="24"/>
            <w:szCs w:val="24"/>
            <w:u w:val="single"/>
          </w:rPr>
          <w:t>pdf</w:t>
        </w:r>
        <w:proofErr w:type="gramEnd"/>
      </w:hyperlink>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p>
    <w:p w:rsidR="004E409D" w:rsidRPr="004E409D" w:rsidRDefault="004E409D" w:rsidP="004E409D">
      <w:pPr>
        <w:widowControl/>
        <w:spacing w:before="100" w:beforeAutospacing="1" w:after="100" w:afterAutospacing="1" w:line="285" w:lineRule="atLeast"/>
        <w:ind w:firstLine="480"/>
        <w:jc w:val="center"/>
        <w:rPr>
          <w:rFonts w:ascii="宋体" w:eastAsia="宋体" w:hAnsi="宋体" w:cs="宋体"/>
          <w:kern w:val="0"/>
          <w:sz w:val="24"/>
          <w:szCs w:val="24"/>
        </w:rPr>
      </w:pPr>
    </w:p>
    <w:p w:rsidR="004E409D" w:rsidRPr="004E409D" w:rsidRDefault="004E409D" w:rsidP="004E409D">
      <w:pPr>
        <w:widowControl/>
        <w:spacing w:before="100" w:beforeAutospacing="1" w:after="100" w:afterAutospacing="1" w:line="285" w:lineRule="atLeast"/>
        <w:ind w:firstLine="480"/>
        <w:jc w:val="center"/>
        <w:rPr>
          <w:rFonts w:ascii="宋体" w:eastAsia="宋体" w:hAnsi="宋体" w:cs="宋体"/>
          <w:kern w:val="0"/>
          <w:sz w:val="24"/>
          <w:szCs w:val="24"/>
        </w:rPr>
      </w:pPr>
    </w:p>
    <w:p w:rsidR="004E409D" w:rsidRPr="004E409D" w:rsidRDefault="004E409D" w:rsidP="004E409D">
      <w:pPr>
        <w:widowControl/>
        <w:spacing w:before="100" w:beforeAutospacing="1" w:after="100" w:afterAutospacing="1"/>
        <w:jc w:val="left"/>
        <w:rPr>
          <w:rFonts w:ascii="宋体" w:eastAsia="宋体" w:hAnsi="宋体" w:cs="宋体"/>
          <w:kern w:val="0"/>
          <w:sz w:val="24"/>
          <w:szCs w:val="24"/>
        </w:rPr>
      </w:pPr>
    </w:p>
    <w:p w:rsidR="007E3454" w:rsidRPr="004E409D" w:rsidRDefault="004E409D">
      <w:bookmarkStart w:id="0" w:name="_GoBack"/>
      <w:bookmarkEnd w:id="0"/>
    </w:p>
    <w:sectPr w:rsidR="007E3454" w:rsidRPr="004E40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4F"/>
    <w:rsid w:val="001F7916"/>
    <w:rsid w:val="004E409D"/>
    <w:rsid w:val="0060744F"/>
    <w:rsid w:val="00B4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E8FE-697F-4D41-A267-0CDC7D6B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09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E4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681">
      <w:bodyDiv w:val="1"/>
      <w:marLeft w:val="0"/>
      <w:marRight w:val="0"/>
      <w:marTop w:val="0"/>
      <w:marBottom w:val="0"/>
      <w:divBdr>
        <w:top w:val="none" w:sz="0" w:space="0" w:color="auto"/>
        <w:left w:val="none" w:sz="0" w:space="0" w:color="auto"/>
        <w:bottom w:val="none" w:sz="0" w:space="0" w:color="auto"/>
        <w:right w:val="none" w:sz="0" w:space="0" w:color="auto"/>
      </w:divBdr>
      <w:divsChild>
        <w:div w:id="239368484">
          <w:marLeft w:val="0"/>
          <w:marRight w:val="0"/>
          <w:marTop w:val="0"/>
          <w:marBottom w:val="0"/>
          <w:divBdr>
            <w:top w:val="none" w:sz="0" w:space="0" w:color="auto"/>
            <w:left w:val="none" w:sz="0" w:space="0" w:color="auto"/>
            <w:bottom w:val="none" w:sz="0" w:space="0" w:color="auto"/>
            <w:right w:val="none" w:sz="0" w:space="0" w:color="auto"/>
          </w:divBdr>
        </w:div>
      </w:divsChild>
    </w:div>
    <w:div w:id="1010571852">
      <w:bodyDiv w:val="1"/>
      <w:marLeft w:val="0"/>
      <w:marRight w:val="0"/>
      <w:marTop w:val="0"/>
      <w:marBottom w:val="0"/>
      <w:divBdr>
        <w:top w:val="none" w:sz="0" w:space="0" w:color="auto"/>
        <w:left w:val="none" w:sz="0" w:space="0" w:color="auto"/>
        <w:bottom w:val="none" w:sz="0" w:space="0" w:color="auto"/>
        <w:right w:val="none" w:sz="0" w:space="0" w:color="auto"/>
      </w:divBdr>
      <w:divsChild>
        <w:div w:id="1251507197">
          <w:marLeft w:val="0"/>
          <w:marRight w:val="0"/>
          <w:marTop w:val="0"/>
          <w:marBottom w:val="0"/>
          <w:divBdr>
            <w:top w:val="none" w:sz="0" w:space="0" w:color="auto"/>
            <w:left w:val="none" w:sz="0" w:space="0" w:color="auto"/>
            <w:bottom w:val="none" w:sz="0" w:space="0" w:color="auto"/>
            <w:right w:val="none" w:sz="0" w:space="0" w:color="auto"/>
          </w:divBdr>
          <w:divsChild>
            <w:div w:id="1495681488">
              <w:marLeft w:val="-225"/>
              <w:marRight w:val="-225"/>
              <w:marTop w:val="0"/>
              <w:marBottom w:val="0"/>
              <w:divBdr>
                <w:top w:val="none" w:sz="0" w:space="0" w:color="auto"/>
                <w:left w:val="none" w:sz="0" w:space="0" w:color="auto"/>
                <w:bottom w:val="none" w:sz="0" w:space="0" w:color="auto"/>
                <w:right w:val="none" w:sz="0" w:space="0" w:color="auto"/>
              </w:divBdr>
              <w:divsChild>
                <w:div w:id="540635239">
                  <w:marLeft w:val="0"/>
                  <w:marRight w:val="0"/>
                  <w:marTop w:val="0"/>
                  <w:marBottom w:val="0"/>
                  <w:divBdr>
                    <w:top w:val="none" w:sz="0" w:space="0" w:color="auto"/>
                    <w:left w:val="none" w:sz="0" w:space="0" w:color="auto"/>
                    <w:bottom w:val="none" w:sz="0" w:space="0" w:color="auto"/>
                    <w:right w:val="none" w:sz="0" w:space="0" w:color="auto"/>
                  </w:divBdr>
                  <w:divsChild>
                    <w:div w:id="488598386">
                      <w:marLeft w:val="-225"/>
                      <w:marRight w:val="-225"/>
                      <w:marTop w:val="0"/>
                      <w:marBottom w:val="0"/>
                      <w:divBdr>
                        <w:top w:val="none" w:sz="0" w:space="0" w:color="auto"/>
                        <w:left w:val="none" w:sz="0" w:space="0" w:color="auto"/>
                        <w:bottom w:val="none" w:sz="0" w:space="0" w:color="auto"/>
                        <w:right w:val="none" w:sz="0" w:space="0" w:color="auto"/>
                      </w:divBdr>
                      <w:divsChild>
                        <w:div w:id="1162310962">
                          <w:marLeft w:val="0"/>
                          <w:marRight w:val="0"/>
                          <w:marTop w:val="0"/>
                          <w:marBottom w:val="0"/>
                          <w:divBdr>
                            <w:top w:val="none" w:sz="0" w:space="0" w:color="auto"/>
                            <w:left w:val="none" w:sz="0" w:space="0" w:color="auto"/>
                            <w:bottom w:val="none" w:sz="0" w:space="0" w:color="auto"/>
                            <w:right w:val="none" w:sz="0" w:space="0" w:color="auto"/>
                          </w:divBdr>
                          <w:divsChild>
                            <w:div w:id="2073505270">
                              <w:marLeft w:val="0"/>
                              <w:marRight w:val="0"/>
                              <w:marTop w:val="0"/>
                              <w:marBottom w:val="0"/>
                              <w:divBdr>
                                <w:top w:val="none" w:sz="0" w:space="0" w:color="auto"/>
                                <w:left w:val="none" w:sz="0" w:space="0" w:color="auto"/>
                                <w:bottom w:val="none" w:sz="0" w:space="0" w:color="auto"/>
                                <w:right w:val="none" w:sz="0" w:space="0" w:color="auto"/>
                              </w:divBdr>
                              <w:divsChild>
                                <w:div w:id="1330862677">
                                  <w:marLeft w:val="0"/>
                                  <w:marRight w:val="0"/>
                                  <w:marTop w:val="0"/>
                                  <w:marBottom w:val="0"/>
                                  <w:divBdr>
                                    <w:top w:val="none" w:sz="0" w:space="0" w:color="auto"/>
                                    <w:left w:val="none" w:sz="0" w:space="0" w:color="auto"/>
                                    <w:bottom w:val="none" w:sz="0" w:space="0" w:color="auto"/>
                                    <w:right w:val="none" w:sz="0" w:space="0" w:color="auto"/>
                                  </w:divBdr>
                                </w:div>
                                <w:div w:id="249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ggzy.com/cdzczy/ueditor/netfile/upload/2019-06-21/b2eb59cf-139e-4c32-a708-d44c9229566e.pdf" TargetMode="External"/><Relationship Id="rId3" Type="http://schemas.openxmlformats.org/officeDocument/2006/relationships/webSettings" Target="webSettings.xml"/><Relationship Id="rId7" Type="http://schemas.openxmlformats.org/officeDocument/2006/relationships/hyperlink" Target="http://www.landchina.com/" TargetMode="External"/><Relationship Id="rId12" Type="http://schemas.openxmlformats.org/officeDocument/2006/relationships/hyperlink" Target="https://www.cdggzy.com/cdzczy/ueditor/netfile/upload/2019-06-21/734e2cb8-c2fb-492b-a1df-5d873d258fa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lr.gov.cn/" TargetMode="External"/><Relationship Id="rId11" Type="http://schemas.openxmlformats.org/officeDocument/2006/relationships/hyperlink" Target="https://www.cdggzy.com/cdzczy/ueditor/netfile/upload/2019-06-21/b31a76cb-1df8-4d06-85d4-f6e69bd64241.pdf" TargetMode="External"/><Relationship Id="rId5" Type="http://schemas.openxmlformats.org/officeDocument/2006/relationships/hyperlink" Target="http://www.scdlr.gov.cn/"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hyperlink" Target="http://www.cdggzy.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653</Words>
  <Characters>3728</Characters>
  <Application>Microsoft Office Word</Application>
  <DocSecurity>0</DocSecurity>
  <Lines>31</Lines>
  <Paragraphs>8</Paragraphs>
  <ScaleCrop>false</ScaleCrop>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2019-06-24T07:14:00Z</dcterms:created>
  <dcterms:modified xsi:type="dcterms:W3CDTF">2019-06-24T07:14:00Z</dcterms:modified>
</cp:coreProperties>
</file>