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DC" w:rsidRPr="00630BDC" w:rsidRDefault="00630BDC" w:rsidP="00630BDC">
      <w:pPr>
        <w:widowControl/>
        <w:shd w:val="clear" w:color="auto" w:fill="FFFFFF"/>
        <w:jc w:val="center"/>
        <w:rPr>
          <w:rFonts w:ascii="宋体" w:eastAsia="宋体" w:hAnsi="宋体" w:cs="宋体"/>
          <w:color w:val="3C3C3C"/>
          <w:kern w:val="0"/>
          <w:sz w:val="36"/>
          <w:szCs w:val="36"/>
        </w:rPr>
      </w:pPr>
      <w:r w:rsidRPr="00630BDC">
        <w:rPr>
          <w:rFonts w:ascii="Times New Roman" w:eastAsia="宋体" w:hAnsi="Times New Roman" w:cs="宋体" w:hint="eastAsia"/>
          <w:b/>
          <w:bCs/>
          <w:color w:val="333333"/>
          <w:kern w:val="0"/>
          <w:sz w:val="36"/>
          <w:szCs w:val="36"/>
        </w:rPr>
        <w:t>广州市规划和自然资源局国有土地使用权网上挂牌出让公告</w:t>
      </w:r>
    </w:p>
    <w:p w:rsidR="00630BDC" w:rsidRPr="00630BDC" w:rsidRDefault="00630BDC" w:rsidP="00630BDC">
      <w:pPr>
        <w:widowControl/>
        <w:shd w:val="clear" w:color="auto" w:fill="FFFFFF"/>
        <w:spacing w:line="360" w:lineRule="auto"/>
        <w:jc w:val="center"/>
        <w:rPr>
          <w:rFonts w:ascii="宋体" w:eastAsia="宋体" w:hAnsi="宋体" w:cs="宋体"/>
          <w:color w:val="3C3C3C"/>
          <w:kern w:val="0"/>
          <w:sz w:val="24"/>
          <w:szCs w:val="24"/>
        </w:rPr>
      </w:pPr>
      <w:r w:rsidRPr="00630BDC">
        <w:rPr>
          <w:rFonts w:ascii="宋体" w:eastAsia="宋体" w:hAnsi="宋体" w:cs="宋体" w:hint="eastAsia"/>
          <w:color w:val="3C3C3C"/>
          <w:kern w:val="0"/>
          <w:sz w:val="24"/>
          <w:szCs w:val="24"/>
        </w:rPr>
        <w:t>穗规划资源挂出告字〔2019〕39号</w:t>
      </w:r>
    </w:p>
    <w:p w:rsidR="00630BDC" w:rsidRPr="00630BDC" w:rsidRDefault="00630BDC" w:rsidP="00630BDC">
      <w:pPr>
        <w:widowControl/>
        <w:shd w:val="clear" w:color="auto" w:fill="FFFFFF"/>
        <w:spacing w:line="360" w:lineRule="auto"/>
        <w:jc w:val="center"/>
        <w:rPr>
          <w:rFonts w:ascii="宋体" w:eastAsia="宋体" w:hAnsi="宋体" w:cs="宋体" w:hint="eastAsia"/>
          <w:color w:val="3C3C3C"/>
          <w:kern w:val="0"/>
          <w:sz w:val="24"/>
          <w:szCs w:val="24"/>
        </w:rPr>
      </w:pPr>
      <w:r w:rsidRPr="00630BDC">
        <w:rPr>
          <w:rFonts w:ascii="宋体" w:eastAsia="宋体" w:hAnsi="宋体" w:cs="宋体" w:hint="eastAsia"/>
          <w:color w:val="3C3C3C"/>
          <w:kern w:val="0"/>
          <w:sz w:val="24"/>
          <w:szCs w:val="24"/>
        </w:rPr>
        <w:t> </w:t>
      </w:r>
    </w:p>
    <w:p w:rsidR="00630BDC" w:rsidRPr="00630BDC" w:rsidRDefault="00630BDC" w:rsidP="00630BDC">
      <w:pPr>
        <w:widowControl/>
        <w:shd w:val="clear" w:color="auto" w:fill="FFFFFF"/>
        <w:spacing w:line="360" w:lineRule="auto"/>
        <w:jc w:val="left"/>
        <w:rPr>
          <w:rFonts w:ascii="宋体" w:eastAsia="宋体" w:hAnsi="宋体" w:cs="宋体" w:hint="eastAsia"/>
          <w:color w:val="3C3C3C"/>
          <w:kern w:val="0"/>
          <w:sz w:val="24"/>
          <w:szCs w:val="24"/>
        </w:rPr>
      </w:pPr>
      <w:r w:rsidRPr="00630BDC">
        <w:rPr>
          <w:rFonts w:ascii="宋体" w:eastAsia="宋体" w:hAnsi="宋体" w:cs="宋体" w:hint="eastAsia"/>
          <w:color w:val="3C3C3C"/>
          <w:kern w:val="0"/>
          <w:sz w:val="24"/>
          <w:szCs w:val="24"/>
        </w:rPr>
        <w:t xml:space="preserve">　　经广州市人民政府批准，广州市规划和自然资源局以挂牌方式出让1宗地的国有土地使用权，现将有关事项公告如下：</w:t>
      </w:r>
    </w:p>
    <w:p w:rsidR="00630BDC" w:rsidRPr="00630BDC" w:rsidRDefault="00630BDC" w:rsidP="00630BDC">
      <w:pPr>
        <w:widowControl/>
        <w:shd w:val="clear" w:color="auto" w:fill="FFFFFF"/>
        <w:spacing w:line="360" w:lineRule="auto"/>
        <w:jc w:val="left"/>
        <w:rPr>
          <w:rFonts w:ascii="宋体" w:eastAsia="宋体" w:hAnsi="宋体" w:cs="宋体" w:hint="eastAsia"/>
          <w:color w:val="3C3C3C"/>
          <w:kern w:val="0"/>
          <w:sz w:val="24"/>
          <w:szCs w:val="24"/>
        </w:rPr>
      </w:pPr>
      <w:r w:rsidRPr="00630BDC">
        <w:rPr>
          <w:rFonts w:ascii="宋体" w:eastAsia="宋体" w:hAnsi="宋体" w:cs="宋体" w:hint="eastAsia"/>
          <w:color w:val="3C3C3C"/>
          <w:kern w:val="0"/>
          <w:sz w:val="24"/>
          <w:szCs w:val="24"/>
        </w:rPr>
        <w:t xml:space="preserve">　　一、挂牌出让宗地的基本情况和规划指标要求</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818"/>
        <w:gridCol w:w="1308"/>
        <w:gridCol w:w="2137"/>
        <w:gridCol w:w="1078"/>
        <w:gridCol w:w="674"/>
        <w:gridCol w:w="667"/>
        <w:gridCol w:w="650"/>
        <w:gridCol w:w="645"/>
        <w:gridCol w:w="545"/>
      </w:tblGrid>
      <w:tr w:rsidR="00630BDC" w:rsidRPr="00630BDC" w:rsidTr="00630BDC">
        <w:trPr>
          <w:trHeight w:val="624"/>
        </w:trPr>
        <w:tc>
          <w:tcPr>
            <w:tcW w:w="817" w:type="dxa"/>
            <w:vMerge w:val="restart"/>
            <w:tcBorders>
              <w:top w:val="single" w:sz="8" w:space="0" w:color="auto"/>
              <w:left w:val="single" w:sz="8"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宗地坐落</w:t>
            </w:r>
          </w:p>
        </w:tc>
        <w:tc>
          <w:tcPr>
            <w:tcW w:w="1308" w:type="dxa"/>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土地用途</w:t>
            </w:r>
          </w:p>
        </w:tc>
        <w:tc>
          <w:tcPr>
            <w:tcW w:w="0" w:type="auto"/>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left"/>
              <w:rPr>
                <w:rFonts w:ascii="宋体" w:eastAsia="宋体" w:hAnsi="宋体" w:cs="宋体"/>
                <w:color w:val="3C3C3C"/>
                <w:kern w:val="0"/>
                <w:szCs w:val="21"/>
              </w:rPr>
            </w:pPr>
            <w:r w:rsidRPr="00630BDC">
              <w:rPr>
                <w:rFonts w:ascii="宋体" w:eastAsia="宋体" w:hAnsi="宋体" w:cs="宋体" w:hint="eastAsia"/>
                <w:b/>
                <w:bCs/>
                <w:color w:val="333333"/>
                <w:kern w:val="0"/>
                <w:szCs w:val="21"/>
              </w:rPr>
              <w:t>        宗地面积（平方米）</w:t>
            </w:r>
          </w:p>
        </w:tc>
        <w:tc>
          <w:tcPr>
            <w:tcW w:w="0" w:type="auto"/>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计算容积率建筑面积(平方米)</w:t>
            </w:r>
          </w:p>
        </w:tc>
        <w:tc>
          <w:tcPr>
            <w:tcW w:w="0" w:type="auto"/>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挂牌起始价(万元)</w:t>
            </w:r>
          </w:p>
        </w:tc>
        <w:tc>
          <w:tcPr>
            <w:tcW w:w="0" w:type="auto"/>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增价幅度（万元）</w:t>
            </w:r>
          </w:p>
        </w:tc>
        <w:tc>
          <w:tcPr>
            <w:tcW w:w="0" w:type="auto"/>
            <w:gridSpan w:val="3"/>
            <w:tcBorders>
              <w:top w:val="single" w:sz="8"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竞买保证金(万元)</w:t>
            </w:r>
          </w:p>
        </w:tc>
      </w:tr>
      <w:tr w:rsidR="00630BDC" w:rsidRPr="00630BDC" w:rsidTr="00630BDC">
        <w:trPr>
          <w:trHeight w:val="330"/>
        </w:trPr>
        <w:tc>
          <w:tcPr>
            <w:tcW w:w="0" w:type="auto"/>
            <w:vMerge/>
            <w:tcBorders>
              <w:top w:val="single" w:sz="8" w:space="0" w:color="auto"/>
              <w:left w:val="single" w:sz="8" w:space="0" w:color="auto"/>
              <w:bottom w:val="single" w:sz="6" w:space="0" w:color="auto"/>
              <w:right w:val="single" w:sz="6" w:space="0" w:color="auto"/>
            </w:tcBorders>
            <w:vAlign w:val="center"/>
            <w:hideMark/>
          </w:tcPr>
          <w:p w:rsidR="00630BDC" w:rsidRPr="00630BDC" w:rsidRDefault="00630BDC" w:rsidP="00630BDC">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30BDC" w:rsidRPr="00630BDC" w:rsidRDefault="00630BDC" w:rsidP="00630BDC">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30BDC" w:rsidRPr="00630BDC" w:rsidRDefault="00630BDC" w:rsidP="00630BDC">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30BDC" w:rsidRPr="00630BDC" w:rsidRDefault="00630BDC" w:rsidP="00630BDC">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30BDC" w:rsidRPr="00630BDC" w:rsidRDefault="00630BDC" w:rsidP="00630BDC">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30BDC" w:rsidRPr="00630BDC" w:rsidRDefault="00630BDC" w:rsidP="00630BDC">
            <w:pPr>
              <w:widowControl/>
              <w:jc w:val="left"/>
              <w:rPr>
                <w:rFonts w:ascii="宋体" w:eastAsia="宋体" w:hAnsi="宋体" w:cs="宋体"/>
                <w:color w:val="3C3C3C"/>
                <w:kern w:val="0"/>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人民币</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港币</w:t>
            </w:r>
          </w:p>
        </w:tc>
        <w:tc>
          <w:tcPr>
            <w:tcW w:w="0" w:type="auto"/>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b/>
                <w:bCs/>
                <w:color w:val="333333"/>
                <w:kern w:val="0"/>
                <w:szCs w:val="21"/>
              </w:rPr>
              <w:t>美元</w:t>
            </w:r>
          </w:p>
        </w:tc>
      </w:tr>
      <w:tr w:rsidR="00630BDC" w:rsidRPr="00630BDC" w:rsidTr="00630BDC">
        <w:trPr>
          <w:trHeight w:val="1425"/>
        </w:trPr>
        <w:tc>
          <w:tcPr>
            <w:tcW w:w="817" w:type="dxa"/>
            <w:tcBorders>
              <w:top w:val="single" w:sz="6" w:space="0" w:color="auto"/>
              <w:left w:val="single" w:sz="8"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海珠区大干围西侧地块</w:t>
            </w:r>
          </w:p>
        </w:tc>
        <w:tc>
          <w:tcPr>
            <w:tcW w:w="1308" w:type="dxa"/>
            <w:tcBorders>
              <w:top w:val="single" w:sz="6" w:space="0" w:color="auto"/>
              <w:left w:val="single" w:sz="6"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二类居住用地（R2）、商业用地兼容服务设施用地（B1/R22）</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43888（可建设用地面积25791，其中AH101515地块18662，AH101516地块7129）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≤147165(其中AH101515地块≤128792，AH101516地块≤18373）</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509602</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2000</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101930</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113000</w:t>
            </w:r>
          </w:p>
        </w:tc>
        <w:tc>
          <w:tcPr>
            <w:tcW w:w="0" w:type="auto"/>
            <w:tcBorders>
              <w:top w:val="single" w:sz="6" w:space="0" w:color="auto"/>
              <w:left w:val="single" w:sz="6" w:space="0" w:color="auto"/>
              <w:bottom w:val="single" w:sz="8" w:space="0" w:color="auto"/>
              <w:right w:val="single" w:sz="8" w:space="0" w:color="auto"/>
            </w:tcBorders>
            <w:shd w:val="clear" w:color="auto" w:fill="auto"/>
            <w:vAlign w:val="center"/>
            <w:hideMark/>
          </w:tcPr>
          <w:p w:rsidR="00630BDC" w:rsidRPr="00630BDC" w:rsidRDefault="00630BDC" w:rsidP="00630BDC">
            <w:pPr>
              <w:widowControl/>
              <w:spacing w:before="100" w:beforeAutospacing="1" w:after="100" w:afterAutospacing="1" w:line="360" w:lineRule="auto"/>
              <w:jc w:val="center"/>
              <w:rPr>
                <w:rFonts w:ascii="宋体" w:eastAsia="宋体" w:hAnsi="宋体" w:cs="宋体"/>
                <w:color w:val="3C3C3C"/>
                <w:kern w:val="0"/>
                <w:szCs w:val="21"/>
              </w:rPr>
            </w:pPr>
            <w:r w:rsidRPr="00630BDC">
              <w:rPr>
                <w:rFonts w:ascii="宋体" w:eastAsia="宋体" w:hAnsi="宋体" w:cs="宋体" w:hint="eastAsia"/>
                <w:color w:val="3C3C3C"/>
                <w:kern w:val="0"/>
                <w:szCs w:val="21"/>
              </w:rPr>
              <w:t>14600</w:t>
            </w:r>
          </w:p>
        </w:tc>
      </w:tr>
    </w:tbl>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（一）需满足的其它出让条件如下：</w:t>
      </w:r>
    </w:p>
    <w:p w:rsidR="00630BDC" w:rsidRPr="00630BDC" w:rsidRDefault="00630BDC" w:rsidP="00630BDC">
      <w:pPr>
        <w:widowControl/>
        <w:shd w:val="clear" w:color="auto" w:fill="FFFFFF"/>
        <w:spacing w:line="360" w:lineRule="auto"/>
        <w:ind w:firstLineChars="250" w:firstLine="600"/>
        <w:jc w:val="left"/>
        <w:rPr>
          <w:rFonts w:ascii="宋体" w:eastAsia="宋体" w:hAnsi="宋体" w:cs="宋体" w:hint="eastAsia"/>
          <w:color w:val="3C3C3C"/>
          <w:kern w:val="0"/>
          <w:sz w:val="24"/>
          <w:szCs w:val="24"/>
        </w:rPr>
      </w:pPr>
      <w:r w:rsidRPr="00630BDC">
        <w:rPr>
          <w:rFonts w:asciiTheme="minorEastAsia" w:hAnsiTheme="minorEastAsia" w:cs="宋体" w:hint="eastAsia"/>
          <w:color w:val="3C3C3C"/>
          <w:kern w:val="0"/>
          <w:sz w:val="24"/>
          <w:szCs w:val="24"/>
        </w:rPr>
        <w:t>1、竞得人需按规划要求建设地块用地范围内城市道路用地、绿地用地，按照该地块《国有建设用地使用权出让合同》第十六条约定的竣工时间建成并验收合格后无偿移交给政府相关主管部门。</w:t>
      </w:r>
    </w:p>
    <w:p w:rsidR="00630BDC" w:rsidRPr="00630BDC" w:rsidRDefault="00630BDC" w:rsidP="00630BDC">
      <w:pPr>
        <w:widowControl/>
        <w:shd w:val="clear" w:color="auto" w:fill="FFFFFF"/>
        <w:spacing w:line="360" w:lineRule="auto"/>
        <w:ind w:firstLineChars="250" w:firstLine="600"/>
        <w:jc w:val="left"/>
        <w:rPr>
          <w:rFonts w:ascii="宋体" w:eastAsia="宋体" w:hAnsi="宋体" w:cs="宋体"/>
          <w:color w:val="3C3C3C"/>
          <w:kern w:val="0"/>
          <w:sz w:val="24"/>
          <w:szCs w:val="24"/>
        </w:rPr>
      </w:pPr>
      <w:r w:rsidRPr="00630BDC">
        <w:rPr>
          <w:rFonts w:asciiTheme="minorEastAsia" w:hAnsiTheme="minorEastAsia" w:cs="宋体" w:hint="eastAsia"/>
          <w:color w:val="3C3C3C"/>
          <w:kern w:val="0"/>
          <w:sz w:val="24"/>
          <w:szCs w:val="24"/>
        </w:rPr>
        <w:t>2、</w:t>
      </w:r>
      <w:r w:rsidRPr="00630BDC">
        <w:rPr>
          <w:rFonts w:asciiTheme="minorEastAsia" w:hAnsiTheme="minorEastAsia" w:cs="仿宋_GB2312" w:hint="eastAsia"/>
          <w:color w:val="3C3C3C"/>
          <w:kern w:val="0"/>
          <w:sz w:val="24"/>
          <w:szCs w:val="24"/>
        </w:rPr>
        <w:t>社会停车场由竞得人建成后进行使用和组织经营管理，社会停车场须整体确权（只办理一个不动产权证），不得销售。</w:t>
      </w:r>
    </w:p>
    <w:p w:rsidR="00630BDC" w:rsidRPr="00630BDC" w:rsidRDefault="00630BDC" w:rsidP="00630BDC">
      <w:pPr>
        <w:widowControl/>
        <w:shd w:val="clear" w:color="auto" w:fill="FFFFFF"/>
        <w:spacing w:line="360" w:lineRule="auto"/>
        <w:ind w:firstLineChars="250" w:firstLine="600"/>
        <w:jc w:val="left"/>
        <w:rPr>
          <w:rFonts w:asciiTheme="minorEastAsia" w:hAnsiTheme="minorEastAsia" w:cs="宋体"/>
          <w:color w:val="3C3C3C"/>
          <w:kern w:val="0"/>
          <w:sz w:val="24"/>
          <w:szCs w:val="24"/>
        </w:rPr>
      </w:pPr>
      <w:r w:rsidRPr="00630BDC">
        <w:rPr>
          <w:rFonts w:asciiTheme="minorEastAsia" w:hAnsiTheme="minorEastAsia" w:cs="宋体" w:hint="eastAsia"/>
          <w:color w:val="3C3C3C"/>
          <w:kern w:val="0"/>
          <w:sz w:val="24"/>
          <w:szCs w:val="24"/>
        </w:rPr>
        <w:t>3、竞得人需采取装配式建筑的建造方式，应满足国家或省现行的装配式建筑评价标准要求。</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lastRenderedPageBreak/>
        <w:t>（二）土地使用权出让年限为：</w:t>
      </w:r>
      <w:r w:rsidRPr="00630BDC">
        <w:rPr>
          <w:rFonts w:asciiTheme="minorEastAsia" w:hAnsiTheme="minorEastAsia" w:cs="宋体" w:hint="eastAsia"/>
          <w:color w:val="3C3C3C"/>
          <w:kern w:val="0"/>
          <w:sz w:val="24"/>
          <w:szCs w:val="24"/>
          <w:shd w:val="clear" w:color="auto" w:fill="FFFFFF"/>
        </w:rPr>
        <w:t>居住用地70年</w:t>
      </w:r>
      <w:r w:rsidRPr="00630BDC">
        <w:rPr>
          <w:rFonts w:asciiTheme="minorEastAsia" w:hAnsiTheme="minorEastAsia" w:cs="宋体" w:hint="eastAsia"/>
          <w:color w:val="3C3C3C"/>
          <w:kern w:val="0"/>
          <w:sz w:val="24"/>
          <w:szCs w:val="24"/>
        </w:rPr>
        <w:t>；商业、旅游、娱乐用地40年。</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具体情况及要求可参阅：《成交确认书》（样本）、《广州市国有建设用地使用权出让合同》（样本）、《竞买须知》及相关规划文件，规划指标要求按国家有关规定和规划部门最新批复执行。</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仿宋_GB2312" w:hint="eastAsia"/>
          <w:color w:val="3C3C3C"/>
          <w:kern w:val="0"/>
          <w:sz w:val="24"/>
          <w:szCs w:val="24"/>
          <w:shd w:val="clear" w:color="auto" w:fill="FFFFFF"/>
        </w:rPr>
      </w:pPr>
      <w:r w:rsidRPr="00630BDC">
        <w:rPr>
          <w:rFonts w:asciiTheme="minorEastAsia" w:hAnsiTheme="minorEastAsia" w:cs="仿宋_GB2312" w:hint="eastAsia"/>
          <w:color w:val="3C3C3C"/>
          <w:kern w:val="0"/>
          <w:sz w:val="24"/>
          <w:szCs w:val="24"/>
          <w:shd w:val="clear" w:color="auto" w:fill="FFFFFF"/>
        </w:rPr>
        <w:t>二、中华人民共和国境内外的法人、自然人和其他组织均可申请竞买，竞买人可以单独申请，也可以联合申请。</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仿宋_GB2312" w:hint="eastAsia"/>
          <w:color w:val="3C3C3C"/>
          <w:kern w:val="0"/>
          <w:sz w:val="24"/>
          <w:szCs w:val="24"/>
          <w:shd w:val="clear" w:color="auto" w:fill="FFFFFF"/>
        </w:rPr>
      </w:pPr>
      <w:r w:rsidRPr="00630BDC">
        <w:rPr>
          <w:rFonts w:asciiTheme="minorEastAsia" w:hAnsiTheme="minorEastAsia" w:cs="仿宋_GB2312" w:hint="eastAsia"/>
          <w:color w:val="3C3C3C"/>
          <w:kern w:val="0"/>
          <w:sz w:val="24"/>
          <w:szCs w:val="24"/>
          <w:shd w:val="clear" w:color="auto" w:fill="FFFFFF"/>
        </w:rPr>
        <w:t>竞买人应具备的其他条件：联合竞买的，联合体成员须全部符合竞买人资格要求，竞买申请书应列明各成员单位并签章；联合体须提交《联合竞买协议》，各成员单位为竞买及竞得后的行为承担连带责任。中华人民共和国境外的法人、自然人和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b/>
          <w:color w:val="333333"/>
          <w:kern w:val="0"/>
          <w:sz w:val="24"/>
          <w:szCs w:val="24"/>
        </w:rPr>
      </w:pPr>
      <w:r w:rsidRPr="00630BDC">
        <w:rPr>
          <w:rFonts w:asciiTheme="minorEastAsia" w:hAnsiTheme="minorEastAsia" w:cs="仿宋_GB2312" w:hint="eastAsia"/>
          <w:color w:val="3C3C3C"/>
          <w:kern w:val="0"/>
          <w:sz w:val="24"/>
          <w:szCs w:val="24"/>
          <w:shd w:val="clear" w:color="auto" w:fill="FFFFFF"/>
        </w:rPr>
        <w:t>竞买人在广州市范围内竞买商品住宅用地从事房地产开发必须使用自有资金，具体要求按照《广州市住房和城乡建设委员会广州市国土资源和规划委员会广州市金融工作局关于对竞买商品住宅用地资金来源核查的通知》（穗建房产〔2016〕2144号）执行。</w:t>
      </w:r>
    </w:p>
    <w:p w:rsidR="00630BDC" w:rsidRPr="00630BDC" w:rsidRDefault="00630BDC" w:rsidP="00630BDC">
      <w:pPr>
        <w:widowControl/>
        <w:shd w:val="clear" w:color="auto" w:fill="FFFFFF"/>
        <w:spacing w:line="360" w:lineRule="auto"/>
        <w:ind w:leftChars="-11" w:left="-23"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三、成交原则</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地块国有土地使用权挂牌出让价格设定最高限制地价为738923万元，竞买人的最高报价不超过最高限制地价的，按照价高者得原则确定竞得人。</w:t>
      </w:r>
    </w:p>
    <w:p w:rsidR="00630BDC" w:rsidRPr="00630BDC" w:rsidRDefault="00630BDC" w:rsidP="00630BDC">
      <w:pPr>
        <w:widowControl/>
        <w:shd w:val="clear" w:color="auto" w:fill="FFFFFF"/>
        <w:spacing w:line="360" w:lineRule="auto"/>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 xml:space="preserve">    当报价达到最高限制地价后，竞买方式转为竞配建安置房（住宅），凡接受最高限制地价的竞买人可参与竞配建安置房，竞价阶梯为450平方米（以不动产登记的建筑面积为准，不少于5套住房）。本次竞配建安置房设置最高配建面积13500平方米，竞买人报出配建面积不超过最高配建面积的，按照报出配建面积最大者得原则确定竞得人。安置房须与首期工程同步建设、同步验收，竣工后无偿移交给广州市海珠区政府指定的部门。</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当配建面积达到最高配建面积后，竞买方式转为竞企业自持商业建筑面积（以不动产登记的建筑面积为准）的方式确定竞得人，凡接受最高配建面积的竞</w:t>
      </w:r>
      <w:r w:rsidRPr="00630BDC">
        <w:rPr>
          <w:rFonts w:asciiTheme="minorEastAsia" w:hAnsiTheme="minorEastAsia" w:cs="宋体" w:hint="eastAsia"/>
          <w:color w:val="3C3C3C"/>
          <w:kern w:val="0"/>
          <w:sz w:val="24"/>
          <w:szCs w:val="24"/>
        </w:rPr>
        <w:lastRenderedPageBreak/>
        <w:t>买人可参与竞自持商业建筑面积，竞价阶梯为AH101516地块内商业建筑面积的5%，竞买人报出自持面积比例最高的为竞得人。</w:t>
      </w:r>
    </w:p>
    <w:p w:rsidR="00630BDC" w:rsidRPr="00630BDC" w:rsidRDefault="00630BDC" w:rsidP="00630BDC">
      <w:pPr>
        <w:widowControl/>
        <w:shd w:val="clear" w:color="auto" w:fill="FFFFFF"/>
        <w:spacing w:line="360" w:lineRule="auto"/>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 xml:space="preserve">    当有两个或两个以上竞买人报出企业自持商业建筑面积为100%后，竞买方式转为竞企业自持商品住房建筑面积（以不动产登记的建筑面积为准）的方式确定竞得人，凡接受100%自持商业建筑面积的竞买人可参与竞自持商品住房建筑面积，竞价阶梯为AH101515地块内扣除竞配建安置房后的商品住房建筑面积的5%，竞买人报出自持面积比例最高的为竞得人。</w:t>
      </w:r>
    </w:p>
    <w:p w:rsidR="00630BDC" w:rsidRPr="00630BDC" w:rsidRDefault="00630BDC" w:rsidP="00630BDC">
      <w:pPr>
        <w:widowControl/>
        <w:shd w:val="clear" w:color="auto" w:fill="FFFFFF"/>
        <w:spacing w:line="360" w:lineRule="auto"/>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 xml:space="preserve">    当有两个或两个以上竞买人报出企业自持商品住房建筑面积为100%后，停止网上竞价，改为摇号确定竞得人，所有接受100%自持商品住房建筑面积的竞买人参加摇号，摇号时间为限时竞价后3个工作日内。</w:t>
      </w:r>
    </w:p>
    <w:p w:rsidR="00630BDC" w:rsidRPr="00630BDC" w:rsidRDefault="00630BDC" w:rsidP="00630BDC">
      <w:pPr>
        <w:widowControl/>
        <w:shd w:val="clear" w:color="auto" w:fill="FFFFFF"/>
        <w:spacing w:line="360" w:lineRule="auto"/>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 xml:space="preserve">    企业自持部分作为租赁用房，持有年限与土地出让年限一致，不得分割处分，抵押、转让须与本项目全部自持租赁用房整体一并办理。</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四、时间安排</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（一）公告时间：2019年9月18日至2019年10月14日</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（二）网上申请时间：2019年9月18日至2019年10月14日17时</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（三）缴交保证金时间：2019年9月18日至2019年10月14日17时</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（四）网上挂牌时间（网上报价时间）：2019年10月15日至2019年10月24日15时</w:t>
      </w:r>
    </w:p>
    <w:p w:rsidR="00630BDC" w:rsidRPr="00630BDC" w:rsidRDefault="00630BDC" w:rsidP="00630BD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630BDC">
        <w:rPr>
          <w:rFonts w:asciiTheme="minorEastAsia" w:hAnsiTheme="minorEastAsia" w:cs="宋体" w:hint="eastAsia"/>
          <w:color w:val="3C3C3C"/>
          <w:kern w:val="0"/>
          <w:sz w:val="24"/>
          <w:szCs w:val="24"/>
        </w:rPr>
        <w:t>（五）限时竞价时间：2019年10月24日15时起</w:t>
      </w:r>
    </w:p>
    <w:p w:rsidR="00630BDC" w:rsidRPr="00630BDC" w:rsidRDefault="00630BDC" w:rsidP="00630BDC">
      <w:pPr>
        <w:widowControl/>
        <w:shd w:val="clear" w:color="auto" w:fill="FFFFFF"/>
        <w:spacing w:line="360" w:lineRule="auto"/>
        <w:ind w:firstLineChars="200" w:firstLine="480"/>
        <w:jc w:val="left"/>
        <w:rPr>
          <w:rFonts w:ascii="宋体" w:eastAsia="宋体" w:hAnsi="宋体" w:cs="Times New Roman"/>
          <w:color w:val="3C3C3C"/>
          <w:kern w:val="0"/>
          <w:sz w:val="24"/>
          <w:szCs w:val="24"/>
        </w:rPr>
      </w:pPr>
      <w:r w:rsidRPr="00630BDC">
        <w:rPr>
          <w:rFonts w:ascii="宋体" w:eastAsia="宋体" w:hAnsi="宋体" w:cs="Times New Roman" w:hint="eastAsia"/>
          <w:color w:val="3C3C3C"/>
          <w:kern w:val="0"/>
          <w:sz w:val="24"/>
          <w:szCs w:val="24"/>
        </w:rPr>
        <w:t>五、其他需要公告的事项</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（一）本次挂牌出让通过</w:t>
      </w:r>
      <w:hyperlink r:id="rId6" w:history="1">
        <w:r w:rsidRPr="00630BDC">
          <w:rPr>
            <w:rFonts w:asciiTheme="minorEastAsia" w:hAnsiTheme="minorEastAsia" w:cs="宋体" w:hint="eastAsia"/>
            <w:kern w:val="0"/>
            <w:sz w:val="24"/>
            <w:szCs w:val="24"/>
          </w:rPr>
          <w:t>广州土地矿业权网上交易新系统</w:t>
        </w:r>
      </w:hyperlink>
      <w:r w:rsidRPr="00630BDC">
        <w:rPr>
          <w:rFonts w:asciiTheme="minorEastAsia" w:hAnsiTheme="minorEastAsia" w:cs="宋体" w:hint="eastAsia"/>
          <w:color w:val="3C3C3C"/>
          <w:kern w:val="0"/>
          <w:sz w:val="24"/>
          <w:szCs w:val="24"/>
        </w:rPr>
        <w:t>（https://tkjy.gzggzy.cn/SignOnServlet）进行。竞买申请人必须先行办理CA数字证书，才能登录系统参加网上交易活动。</w:t>
      </w:r>
    </w:p>
    <w:p w:rsidR="00630BDC" w:rsidRPr="00630BDC" w:rsidRDefault="00630BDC" w:rsidP="00630BDC">
      <w:pPr>
        <w:widowControl/>
        <w:shd w:val="clear" w:color="auto" w:fill="FFFFFF"/>
        <w:spacing w:line="360" w:lineRule="auto"/>
        <w:ind w:firstLineChars="200" w:firstLine="480"/>
        <w:rPr>
          <w:rFonts w:asciiTheme="minorEastAsia" w:hAnsiTheme="minorEastAsia" w:cs="Times New Roman" w:hint="eastAsia"/>
          <w:color w:val="3C3C3C"/>
          <w:kern w:val="0"/>
          <w:sz w:val="24"/>
          <w:szCs w:val="24"/>
        </w:rPr>
      </w:pPr>
      <w:r w:rsidRPr="00630BDC">
        <w:rPr>
          <w:rFonts w:asciiTheme="minorEastAsia" w:hAnsiTheme="minorEastAsia" w:cs="宋体" w:hint="eastAsia"/>
          <w:color w:val="3C3C3C"/>
          <w:kern w:val="0"/>
          <w:sz w:val="24"/>
          <w:szCs w:val="24"/>
        </w:rPr>
        <w:t>（二）</w:t>
      </w:r>
      <w:hyperlink r:id="rId7" w:history="1">
        <w:r w:rsidRPr="00630BDC">
          <w:rPr>
            <w:rFonts w:asciiTheme="minorEastAsia" w:hAnsiTheme="minorEastAsia" w:cs="宋体" w:hint="eastAsia"/>
            <w:color w:val="0000FF"/>
            <w:kern w:val="0"/>
            <w:sz w:val="24"/>
            <w:szCs w:val="24"/>
          </w:rPr>
          <w:t>《广州市国有建设用地使用权网上交易竞买须知》</w:t>
        </w:r>
      </w:hyperlink>
      <w:r w:rsidRPr="00630BDC">
        <w:rPr>
          <w:rFonts w:asciiTheme="minorEastAsia" w:hAnsiTheme="minorEastAsia" w:cs="宋体" w:hint="eastAsia"/>
          <w:color w:val="3C3C3C"/>
          <w:kern w:val="0"/>
          <w:sz w:val="24"/>
          <w:szCs w:val="24"/>
        </w:rPr>
        <w:t>、</w:t>
      </w:r>
      <w:hyperlink r:id="rId8" w:history="1">
        <w:r w:rsidRPr="00630BDC">
          <w:rPr>
            <w:rFonts w:asciiTheme="minorEastAsia" w:hAnsiTheme="minorEastAsia" w:cs="宋体" w:hint="eastAsia"/>
            <w:color w:val="0000FF"/>
            <w:kern w:val="0"/>
            <w:sz w:val="24"/>
            <w:szCs w:val="24"/>
          </w:rPr>
          <w:t>《CA数字证书与电子签章办理指引》、</w:t>
        </w:r>
      </w:hyperlink>
      <w:hyperlink r:id="rId9" w:history="1">
        <w:r w:rsidRPr="00630BDC">
          <w:rPr>
            <w:rFonts w:asciiTheme="minorEastAsia" w:hAnsiTheme="minorEastAsia" w:cs="宋体" w:hint="eastAsia"/>
            <w:color w:val="0000FF"/>
            <w:kern w:val="0"/>
            <w:sz w:val="24"/>
            <w:szCs w:val="24"/>
          </w:rPr>
          <w:t>《广州土地矿业权网上交易系统竞买人操作手册》</w:t>
        </w:r>
      </w:hyperlink>
      <w:r w:rsidRPr="00630BDC">
        <w:rPr>
          <w:rFonts w:asciiTheme="minorEastAsia" w:hAnsiTheme="minorEastAsia" w:cs="宋体" w:hint="eastAsia"/>
          <w:color w:val="3C3C3C"/>
          <w:kern w:val="0"/>
          <w:sz w:val="24"/>
          <w:szCs w:val="24"/>
        </w:rPr>
        <w:t>等相关资料竞买人可以从广州公共资源交易网（</w:t>
      </w:r>
      <w:hyperlink r:id="rId10" w:history="1">
        <w:r w:rsidRPr="00630BDC">
          <w:rPr>
            <w:rFonts w:asciiTheme="minorEastAsia" w:hAnsiTheme="minorEastAsia" w:cs="宋体" w:hint="eastAsia"/>
            <w:kern w:val="0"/>
            <w:sz w:val="24"/>
            <w:szCs w:val="24"/>
          </w:rPr>
          <w:t>http://www.gzggzy.cn/</w:t>
        </w:r>
      </w:hyperlink>
      <w:r w:rsidRPr="00630BDC">
        <w:rPr>
          <w:rFonts w:asciiTheme="minorEastAsia" w:hAnsiTheme="minorEastAsia" w:cs="宋体" w:hint="eastAsia"/>
          <w:color w:val="3C3C3C"/>
          <w:kern w:val="0"/>
          <w:sz w:val="24"/>
          <w:szCs w:val="24"/>
        </w:rPr>
        <w:t>）服务指南栏目的办事指引中下载并认真阅读。</w:t>
      </w:r>
    </w:p>
    <w:p w:rsidR="00630BDC" w:rsidRPr="00630BDC" w:rsidRDefault="00630BDC" w:rsidP="00630BDC">
      <w:pPr>
        <w:widowControl/>
        <w:shd w:val="clear" w:color="auto" w:fill="FFFFFF"/>
        <w:spacing w:line="360" w:lineRule="auto"/>
        <w:ind w:firstLineChars="200" w:firstLine="480"/>
        <w:rPr>
          <w:rFonts w:ascii="宋体" w:eastAsia="宋体" w:hAnsi="宋体" w:cs="Times New Roman" w:hint="eastAsia"/>
          <w:color w:val="3C3C3C"/>
          <w:kern w:val="0"/>
          <w:sz w:val="24"/>
          <w:szCs w:val="24"/>
        </w:rPr>
      </w:pPr>
      <w:r w:rsidRPr="00630BDC">
        <w:rPr>
          <w:rFonts w:ascii="宋体" w:eastAsia="宋体" w:hAnsi="宋体" w:cs="Times New Roman" w:hint="eastAsia"/>
          <w:color w:val="3C3C3C"/>
          <w:kern w:val="0"/>
          <w:sz w:val="24"/>
          <w:szCs w:val="24"/>
        </w:rPr>
        <w:lastRenderedPageBreak/>
        <w:t>（三）竞买申请人应详尽了解本次出让宗地现状及所列条件，提交竞买申请视同对本次出让宗地的现状及所列条件无异议并全面接受，包括同意接受《竞买须知》的约束，违反有关条款的，将承担相应的法律责任。</w:t>
      </w:r>
    </w:p>
    <w:p w:rsidR="00630BDC" w:rsidRPr="00630BDC" w:rsidRDefault="00630BDC" w:rsidP="00630BDC">
      <w:pPr>
        <w:widowControl/>
        <w:shd w:val="clear" w:color="auto" w:fill="FFFFFF"/>
        <w:spacing w:line="360" w:lineRule="auto"/>
        <w:rPr>
          <w:rFonts w:ascii="宋体" w:eastAsia="宋体" w:hAnsi="宋体" w:cs="Times New Roman" w:hint="eastAsia"/>
          <w:color w:val="3C3C3C"/>
          <w:kern w:val="0"/>
          <w:sz w:val="24"/>
          <w:szCs w:val="24"/>
        </w:rPr>
      </w:pPr>
      <w:r w:rsidRPr="00630BDC">
        <w:rPr>
          <w:rFonts w:ascii="宋体" w:eastAsia="宋体" w:hAnsi="宋体" w:cs="Times New Roman" w:hint="eastAsia"/>
          <w:color w:val="3C3C3C"/>
          <w:kern w:val="0"/>
          <w:sz w:val="24"/>
          <w:szCs w:val="24"/>
        </w:rPr>
        <w:t xml:space="preserve">　　（四）本次挂牌出让不接受邮寄、电话、传真、电子邮件及口头竞买申请。</w:t>
      </w:r>
    </w:p>
    <w:p w:rsidR="00630BDC" w:rsidRPr="00630BDC" w:rsidRDefault="00630BDC" w:rsidP="00630BDC">
      <w:pPr>
        <w:widowControl/>
        <w:shd w:val="clear" w:color="auto" w:fill="FFFFFF"/>
        <w:spacing w:line="360" w:lineRule="auto"/>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 xml:space="preserve">　　（五）本次土地使用权网上交易在网上交易系统全封闭进行，实行资格审核后置；申请人网上申请时应按照系统提示上传申请材料。申请人必须保证网上上传及填写资料的真实性。</w:t>
      </w:r>
    </w:p>
    <w:p w:rsidR="00630BDC" w:rsidRPr="00630BDC" w:rsidRDefault="00630BDC" w:rsidP="00630BDC">
      <w:pPr>
        <w:widowControl/>
        <w:shd w:val="clear" w:color="auto" w:fill="FFFFFF"/>
        <w:spacing w:line="360" w:lineRule="auto"/>
        <w:ind w:firstLineChars="200" w:firstLine="480"/>
        <w:rPr>
          <w:rFonts w:ascii="宋体" w:eastAsia="宋体" w:hAnsi="宋体" w:cs="Times New Roman" w:hint="eastAsia"/>
          <w:color w:val="3C3C3C"/>
          <w:kern w:val="0"/>
          <w:sz w:val="24"/>
          <w:szCs w:val="24"/>
        </w:rPr>
      </w:pPr>
      <w:r w:rsidRPr="00630BDC">
        <w:rPr>
          <w:rFonts w:ascii="宋体" w:eastAsia="宋体" w:hAnsi="宋体" w:cs="Times New Roman" w:hint="eastAsia"/>
          <w:color w:val="3C3C3C"/>
          <w:kern w:val="0"/>
          <w:sz w:val="24"/>
          <w:szCs w:val="24"/>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630BDC" w:rsidRPr="00630BDC" w:rsidRDefault="00630BDC" w:rsidP="00630BDC">
      <w:pPr>
        <w:widowControl/>
        <w:shd w:val="clear" w:color="auto" w:fill="FFFFFF"/>
        <w:spacing w:line="360" w:lineRule="auto"/>
        <w:ind w:firstLineChars="200" w:firstLine="480"/>
        <w:rPr>
          <w:rFonts w:asciiTheme="minorEastAsia" w:hAnsiTheme="minorEastAsia" w:cs="Times New Roman" w:hint="eastAsia"/>
          <w:color w:val="3C3C3C"/>
          <w:kern w:val="0"/>
          <w:sz w:val="24"/>
          <w:szCs w:val="24"/>
        </w:rPr>
      </w:pPr>
      <w:r w:rsidRPr="00630BDC">
        <w:rPr>
          <w:rFonts w:asciiTheme="minorEastAsia" w:hAnsiTheme="minorEastAsia" w:cs="Times New Roman" w:hint="eastAsia"/>
          <w:color w:val="3C3C3C"/>
          <w:kern w:val="0"/>
          <w:sz w:val="24"/>
          <w:szCs w:val="24"/>
        </w:rPr>
        <w:t>（七）网上报价不可撤回。报价和竞价环节也可通过微信绑定广州土地矿业权网上交易新系统后进行，具体详见《</w:t>
      </w:r>
      <w:hyperlink r:id="rId11" w:history="1">
        <w:r w:rsidRPr="00630BDC">
          <w:rPr>
            <w:rFonts w:asciiTheme="minorEastAsia" w:hAnsiTheme="minorEastAsia" w:cs="Times New Roman" w:hint="eastAsia"/>
            <w:kern w:val="0"/>
            <w:sz w:val="24"/>
            <w:szCs w:val="24"/>
          </w:rPr>
          <w:t>土地竞价移动端操作手册》</w:t>
        </w:r>
      </w:hyperlink>
      <w:r w:rsidRPr="00630BDC">
        <w:rPr>
          <w:rFonts w:asciiTheme="minorEastAsia" w:hAnsiTheme="minorEastAsia" w:cs="Times New Roman" w:hint="eastAsia"/>
          <w:color w:val="3C3C3C"/>
          <w:kern w:val="0"/>
          <w:sz w:val="24"/>
          <w:szCs w:val="24"/>
        </w:rPr>
        <w:t>。</w:t>
      </w:r>
    </w:p>
    <w:p w:rsidR="00630BDC" w:rsidRPr="00630BDC" w:rsidRDefault="00630BDC" w:rsidP="00630BDC">
      <w:pPr>
        <w:widowControl/>
        <w:shd w:val="clear" w:color="auto" w:fill="FFFFFF"/>
        <w:spacing w:line="360" w:lineRule="auto"/>
        <w:ind w:firstLineChars="200" w:firstLine="480"/>
        <w:rPr>
          <w:rFonts w:ascii="宋体" w:eastAsia="宋体" w:hAnsi="宋体" w:cs="Times New Roman" w:hint="eastAsia"/>
          <w:color w:val="3C3C3C"/>
          <w:kern w:val="0"/>
          <w:sz w:val="24"/>
          <w:szCs w:val="24"/>
        </w:rPr>
      </w:pPr>
      <w:r w:rsidRPr="00630BDC">
        <w:rPr>
          <w:rFonts w:ascii="宋体" w:eastAsia="宋体" w:hAnsi="宋体" w:cs="Times New Roman" w:hint="eastAsia"/>
          <w:color w:val="3C3C3C"/>
          <w:kern w:val="0"/>
          <w:sz w:val="24"/>
          <w:szCs w:val="24"/>
        </w:rPr>
        <w:t>（八）网上交易结束后，竞得人于2个工作日内持竞买申请时所提交的纸质文档及相关原件到广州公共资源交易中心进行资格确认。资格审核结果将在2019年11月4日前确认其竞得资格。</w:t>
      </w:r>
    </w:p>
    <w:p w:rsidR="00630BDC" w:rsidRPr="00630BDC" w:rsidRDefault="00630BDC" w:rsidP="00630BDC">
      <w:pPr>
        <w:widowControl/>
        <w:shd w:val="clear" w:color="auto" w:fill="FFFFFF"/>
        <w:spacing w:line="360" w:lineRule="auto"/>
        <w:ind w:firstLineChars="200" w:firstLine="480"/>
        <w:rPr>
          <w:rFonts w:ascii="宋体" w:eastAsia="宋体" w:hAnsi="宋体" w:cs="Times New Roman" w:hint="eastAsia"/>
          <w:color w:val="3C3C3C"/>
          <w:kern w:val="0"/>
          <w:sz w:val="24"/>
          <w:szCs w:val="24"/>
        </w:rPr>
      </w:pPr>
      <w:r w:rsidRPr="00630BDC">
        <w:rPr>
          <w:rFonts w:ascii="宋体" w:eastAsia="宋体" w:hAnsi="宋体" w:cs="Times New Roman" w:hint="eastAsia"/>
          <w:color w:val="3C3C3C"/>
          <w:kern w:val="0"/>
          <w:sz w:val="24"/>
          <w:szCs w:val="24"/>
        </w:rPr>
        <w:t>（九）竞得人应在接到竞得资格确认通知之日起2个工作日内与广州公共资源交易中心签订《成交确认书》，并与我局签订《广州市国有建设用地使用权出让合同》。</w:t>
      </w:r>
    </w:p>
    <w:p w:rsidR="00630BDC" w:rsidRPr="00630BDC" w:rsidRDefault="00630BDC" w:rsidP="00630BDC">
      <w:pPr>
        <w:widowControl/>
        <w:shd w:val="clear" w:color="auto" w:fill="FFFFFF"/>
        <w:spacing w:line="360" w:lineRule="auto"/>
        <w:ind w:firstLineChars="200" w:firstLine="480"/>
        <w:rPr>
          <w:rFonts w:asciiTheme="minorEastAsia" w:hAnsiTheme="minorEastAsia" w:cs="Times New Roman" w:hint="eastAsia"/>
          <w:color w:val="3C3C3C"/>
          <w:kern w:val="0"/>
          <w:sz w:val="24"/>
          <w:szCs w:val="24"/>
        </w:rPr>
      </w:pPr>
      <w:r w:rsidRPr="00630BDC">
        <w:rPr>
          <w:rFonts w:asciiTheme="minorEastAsia" w:hAnsiTheme="minorEastAsia" w:cs="Times New Roman" w:hint="eastAsia"/>
          <w:color w:val="3C3C3C"/>
          <w:kern w:val="0"/>
          <w:sz w:val="24"/>
          <w:szCs w:val="24"/>
        </w:rPr>
        <w:t>（十）有关出让宗地的详细资料及挂牌文件可于本公告发布之日起在广州公共资源交易网（</w:t>
      </w:r>
      <w:hyperlink r:id="rId12" w:history="1">
        <w:r w:rsidRPr="00630BDC">
          <w:rPr>
            <w:rFonts w:asciiTheme="minorEastAsia" w:hAnsiTheme="minorEastAsia" w:cs="Times New Roman" w:hint="eastAsia"/>
            <w:kern w:val="0"/>
            <w:sz w:val="24"/>
            <w:szCs w:val="24"/>
          </w:rPr>
          <w:t>www.gzggzy.cn</w:t>
        </w:r>
      </w:hyperlink>
      <w:r w:rsidRPr="00630BDC">
        <w:rPr>
          <w:rFonts w:asciiTheme="minorEastAsia" w:hAnsiTheme="minorEastAsia" w:cs="Times New Roman" w:hint="eastAsia"/>
          <w:color w:val="3C3C3C"/>
          <w:kern w:val="0"/>
          <w:sz w:val="24"/>
          <w:szCs w:val="24"/>
        </w:rPr>
        <w:t>）土地矿产专栏及我局网站的土地交易信息中浏览（网址：www.gzlpc.gov.cn）。</w:t>
      </w:r>
    </w:p>
    <w:p w:rsidR="00630BDC" w:rsidRPr="00630BDC" w:rsidRDefault="00630BDC" w:rsidP="00630BDC">
      <w:pPr>
        <w:widowControl/>
        <w:shd w:val="clear" w:color="auto" w:fill="FFFFFF"/>
        <w:spacing w:line="360" w:lineRule="auto"/>
        <w:rPr>
          <w:rFonts w:ascii="宋体" w:eastAsia="宋体" w:hAnsi="宋体" w:cs="Times New Roman" w:hint="eastAsia"/>
          <w:color w:val="3C3C3C"/>
          <w:kern w:val="0"/>
          <w:sz w:val="24"/>
          <w:szCs w:val="24"/>
        </w:rPr>
      </w:pPr>
      <w:r w:rsidRPr="00630BDC">
        <w:rPr>
          <w:rFonts w:ascii="宋体" w:eastAsia="宋体" w:hAnsi="宋体" w:cs="Times New Roman" w:hint="eastAsia"/>
          <w:color w:val="3C3C3C"/>
          <w:kern w:val="0"/>
          <w:sz w:val="24"/>
          <w:szCs w:val="24"/>
        </w:rPr>
        <w:t xml:space="preserve">　　六、联系方式</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（一）出让方</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名称：广州市规划和自然资源局</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地址：广州市越秀区吉祥路80号</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联系人：王先生，田小姐，联系电话：（020）84026220</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（二）交易机构</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名称：广州公共资源交易中心</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lastRenderedPageBreak/>
        <w:t>地址：广州市天河区天润路333号，邮编：510630</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对外办公时间：工作日8:30～12:00，14:00～17:30</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服务热线：</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 xml:space="preserve">1.业务咨询：（020）28866000 </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2.CA数字证书及电子签章：（020）28866000</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3.项目联系人：车先生、杨小姐，联系电话：（020）28866180、28866407</w:t>
      </w:r>
    </w:p>
    <w:p w:rsidR="00630BDC" w:rsidRPr="00630BDC" w:rsidRDefault="00630BDC" w:rsidP="00630BDC">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4.网上交易系统技术支持电话：（020）28866000</w:t>
      </w:r>
    </w:p>
    <w:p w:rsidR="00630BDC" w:rsidRPr="00630BDC" w:rsidRDefault="00630BDC" w:rsidP="00630BDC">
      <w:pPr>
        <w:widowControl/>
        <w:shd w:val="clear" w:color="auto" w:fill="FFFFFF"/>
        <w:spacing w:line="360" w:lineRule="auto"/>
        <w:jc w:val="left"/>
        <w:rPr>
          <w:rFonts w:ascii="ˎ̥" w:eastAsia="宋体" w:hAnsi="ˎ̥" w:cs="宋体" w:hint="eastAsia"/>
          <w:color w:val="3C3C3C"/>
          <w:kern w:val="0"/>
          <w:sz w:val="18"/>
          <w:szCs w:val="18"/>
        </w:rPr>
      </w:pPr>
      <w:r w:rsidRPr="00630BDC">
        <w:rPr>
          <w:rFonts w:ascii="宋体" w:eastAsia="宋体" w:hAnsi="宋体" w:cs="Times New Roman" w:hint="eastAsia"/>
          <w:color w:val="3C3C3C"/>
          <w:kern w:val="0"/>
          <w:sz w:val="24"/>
          <w:szCs w:val="24"/>
        </w:rPr>
        <w:t xml:space="preserve">　　</w:t>
      </w:r>
    </w:p>
    <w:p w:rsidR="00630BDC" w:rsidRPr="00630BDC" w:rsidRDefault="00630BDC" w:rsidP="00630BDC">
      <w:pPr>
        <w:widowControl/>
        <w:shd w:val="clear" w:color="auto" w:fill="FFFFFF"/>
        <w:spacing w:line="360" w:lineRule="auto"/>
        <w:jc w:val="left"/>
        <w:rPr>
          <w:rFonts w:ascii="宋体" w:eastAsia="宋体" w:hAnsi="宋体" w:cs="Times New Roman"/>
          <w:color w:val="3C3C3C"/>
          <w:kern w:val="0"/>
          <w:sz w:val="24"/>
          <w:szCs w:val="24"/>
        </w:rPr>
      </w:pPr>
      <w:r w:rsidRPr="00630BDC">
        <w:rPr>
          <w:rFonts w:ascii="ˎ̥" w:eastAsia="宋体" w:hAnsi="ˎ̥" w:cs="宋体"/>
          <w:color w:val="3C3C3C"/>
          <w:kern w:val="0"/>
          <w:sz w:val="18"/>
          <w:szCs w:val="18"/>
        </w:rPr>
        <w:t> </w:t>
      </w:r>
    </w:p>
    <w:p w:rsidR="00630BDC" w:rsidRPr="00630BDC" w:rsidRDefault="00630BDC" w:rsidP="00630BDC">
      <w:pPr>
        <w:widowControl/>
        <w:shd w:val="clear" w:color="auto" w:fill="FFFFFF"/>
        <w:spacing w:line="360" w:lineRule="auto"/>
        <w:jc w:val="left"/>
        <w:rPr>
          <w:rFonts w:asciiTheme="minorEastAsia" w:hAnsiTheme="minorEastAsia" w:cs="宋体" w:hint="eastAsia"/>
          <w:color w:val="3C3C3C"/>
          <w:kern w:val="0"/>
          <w:sz w:val="24"/>
          <w:szCs w:val="24"/>
        </w:rPr>
      </w:pPr>
      <w:r w:rsidRPr="00630BDC">
        <w:rPr>
          <w:rFonts w:asciiTheme="minorEastAsia" w:hAnsiTheme="minorEastAsia" w:cs="Times New Roman" w:hint="eastAsia"/>
          <w:color w:val="3C3C3C"/>
          <w:kern w:val="0"/>
          <w:sz w:val="24"/>
          <w:szCs w:val="24"/>
        </w:rPr>
        <w:t xml:space="preserve">　　</w:t>
      </w:r>
    </w:p>
    <w:p w:rsidR="00630BDC" w:rsidRPr="00630BDC" w:rsidRDefault="00630BDC" w:rsidP="00630BDC">
      <w:pPr>
        <w:widowControl/>
        <w:shd w:val="clear" w:color="auto" w:fill="FFFFFF"/>
        <w:spacing w:line="360" w:lineRule="auto"/>
        <w:jc w:val="righ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广州市规划和自然资源局</w:t>
      </w:r>
    </w:p>
    <w:p w:rsidR="00630BDC" w:rsidRPr="00630BDC" w:rsidRDefault="00630BDC" w:rsidP="00630BDC">
      <w:pPr>
        <w:widowControl/>
        <w:shd w:val="clear" w:color="auto" w:fill="FFFFFF"/>
        <w:wordWrap w:val="0"/>
        <w:spacing w:line="360" w:lineRule="auto"/>
        <w:jc w:val="right"/>
        <w:rPr>
          <w:rFonts w:asciiTheme="minorEastAsia" w:hAnsiTheme="minorEastAsia" w:cs="宋体" w:hint="eastAsia"/>
          <w:color w:val="3C3C3C"/>
          <w:kern w:val="0"/>
          <w:sz w:val="24"/>
          <w:szCs w:val="24"/>
        </w:rPr>
      </w:pPr>
      <w:r w:rsidRPr="00630BDC">
        <w:rPr>
          <w:rFonts w:asciiTheme="minorEastAsia" w:hAnsiTheme="minorEastAsia" w:cs="宋体" w:hint="eastAsia"/>
          <w:color w:val="3C3C3C"/>
          <w:kern w:val="0"/>
          <w:sz w:val="24"/>
          <w:szCs w:val="24"/>
        </w:rPr>
        <w:t xml:space="preserve">　  2019年9月18日</w:t>
      </w:r>
    </w:p>
    <w:p w:rsidR="000C680B" w:rsidRDefault="00630BDC" w:rsidP="00630BDC">
      <w:r w:rsidRPr="00630BDC">
        <w:rPr>
          <w:rFonts w:ascii="ˎ̥" w:eastAsia="宋体" w:hAnsi="ˎ̥" w:cs="宋体"/>
          <w:color w:val="3C3C3C"/>
          <w:kern w:val="0"/>
          <w:sz w:val="18"/>
          <w:szCs w:val="18"/>
        </w:rPr>
        <w:br/>
      </w:r>
      <w:r w:rsidRPr="00630BDC">
        <w:rPr>
          <w:rFonts w:ascii="ˎ̥" w:eastAsia="宋体" w:hAnsi="ˎ̥" w:cs="宋体"/>
          <w:color w:val="3C3C3C"/>
          <w:kern w:val="0"/>
          <w:sz w:val="27"/>
          <w:szCs w:val="27"/>
        </w:rPr>
        <w:t>附件</w:t>
      </w:r>
      <w:r w:rsidRPr="00630BDC">
        <w:rPr>
          <w:rFonts w:ascii="ˎ̥" w:eastAsia="宋体" w:hAnsi="ˎ̥" w:cs="宋体"/>
          <w:color w:val="3C3C3C"/>
          <w:kern w:val="0"/>
          <w:sz w:val="27"/>
          <w:szCs w:val="27"/>
        </w:rPr>
        <w:t>:</w:t>
      </w:r>
      <w:r w:rsidRPr="00630BDC">
        <w:rPr>
          <w:rFonts w:ascii="ˎ̥" w:eastAsia="宋体" w:hAnsi="ˎ̥" w:cs="宋体"/>
          <w:color w:val="3C3C3C"/>
          <w:kern w:val="0"/>
          <w:sz w:val="18"/>
          <w:szCs w:val="18"/>
        </w:rPr>
        <w:br/>
      </w:r>
      <w:r w:rsidRPr="00630BDC">
        <w:rPr>
          <w:rFonts w:ascii="ˎ̥" w:eastAsia="宋体" w:hAnsi="ˎ̥" w:cs="宋体"/>
          <w:color w:val="3C3C3C"/>
          <w:kern w:val="0"/>
          <w:sz w:val="27"/>
          <w:szCs w:val="27"/>
        </w:rPr>
        <w:t>1</w:t>
      </w:r>
      <w:r w:rsidRPr="00630BDC">
        <w:rPr>
          <w:rFonts w:ascii="ˎ̥" w:eastAsia="宋体" w:hAnsi="ˎ̥" w:cs="宋体"/>
          <w:color w:val="3C3C3C"/>
          <w:kern w:val="0"/>
          <w:sz w:val="27"/>
          <w:szCs w:val="27"/>
        </w:rPr>
        <w:t>、</w:t>
      </w:r>
      <w:hyperlink r:id="rId13" w:history="1">
        <w:r w:rsidRPr="00630BDC">
          <w:rPr>
            <w:rFonts w:ascii="ˎ̥" w:eastAsia="宋体" w:hAnsi="ˎ̥" w:cs="宋体"/>
            <w:color w:val="000000"/>
            <w:kern w:val="0"/>
            <w:sz w:val="27"/>
          </w:rPr>
          <w:t>国有建设用地使用权出让合同</w:t>
        </w:r>
        <w:r w:rsidRPr="00630BDC">
          <w:rPr>
            <w:rFonts w:ascii="ˎ̥" w:eastAsia="宋体" w:hAnsi="ˎ̥" w:cs="宋体"/>
            <w:color w:val="000000"/>
            <w:kern w:val="0"/>
            <w:sz w:val="27"/>
          </w:rPr>
          <w:t>(</w:t>
        </w:r>
        <w:r w:rsidRPr="00630BDC">
          <w:rPr>
            <w:rFonts w:ascii="ˎ̥" w:eastAsia="宋体" w:hAnsi="ˎ̥" w:cs="宋体"/>
            <w:color w:val="000000"/>
            <w:kern w:val="0"/>
            <w:sz w:val="27"/>
          </w:rPr>
          <w:t>大干围西侧地块）</w:t>
        </w:r>
        <w:r w:rsidRPr="00630BDC">
          <w:rPr>
            <w:rFonts w:ascii="ˎ̥" w:eastAsia="宋体" w:hAnsi="ˎ̥" w:cs="宋体"/>
            <w:color w:val="000000"/>
            <w:kern w:val="0"/>
            <w:sz w:val="27"/>
          </w:rPr>
          <w:t>.doc</w:t>
        </w:r>
      </w:hyperlink>
      <w:r w:rsidRPr="00630BDC">
        <w:rPr>
          <w:rFonts w:ascii="ˎ̥" w:eastAsia="宋体" w:hAnsi="ˎ̥" w:cs="宋体"/>
          <w:color w:val="3C3C3C"/>
          <w:kern w:val="0"/>
          <w:sz w:val="18"/>
          <w:szCs w:val="18"/>
        </w:rPr>
        <w:br/>
      </w:r>
      <w:r w:rsidRPr="00630BDC">
        <w:rPr>
          <w:rFonts w:ascii="ˎ̥" w:eastAsia="宋体" w:hAnsi="ˎ̥" w:cs="宋体"/>
          <w:color w:val="3C3C3C"/>
          <w:kern w:val="0"/>
          <w:sz w:val="18"/>
          <w:szCs w:val="18"/>
        </w:rPr>
        <w:br/>
      </w:r>
      <w:r w:rsidRPr="00630BDC">
        <w:rPr>
          <w:rFonts w:ascii="ˎ̥" w:eastAsia="宋体" w:hAnsi="ˎ̥" w:cs="宋体"/>
          <w:color w:val="3C3C3C"/>
          <w:kern w:val="0"/>
          <w:sz w:val="27"/>
          <w:szCs w:val="27"/>
        </w:rPr>
        <w:t>2</w:t>
      </w:r>
      <w:r w:rsidRPr="00630BDC">
        <w:rPr>
          <w:rFonts w:ascii="ˎ̥" w:eastAsia="宋体" w:hAnsi="ˎ̥" w:cs="宋体"/>
          <w:color w:val="3C3C3C"/>
          <w:kern w:val="0"/>
          <w:sz w:val="27"/>
          <w:szCs w:val="27"/>
        </w:rPr>
        <w:t>、</w:t>
      </w:r>
      <w:hyperlink r:id="rId14" w:history="1">
        <w:r w:rsidRPr="00630BDC">
          <w:rPr>
            <w:rFonts w:ascii="ˎ̥" w:eastAsia="宋体" w:hAnsi="ˎ̥" w:cs="宋体"/>
            <w:color w:val="000000"/>
            <w:kern w:val="0"/>
            <w:sz w:val="27"/>
          </w:rPr>
          <w:t>大干围西侧地块规划条件</w:t>
        </w:r>
        <w:r w:rsidRPr="00630BDC">
          <w:rPr>
            <w:rFonts w:ascii="ˎ̥" w:eastAsia="宋体" w:hAnsi="ˎ̥" w:cs="宋体"/>
            <w:color w:val="000000"/>
            <w:kern w:val="0"/>
            <w:sz w:val="27"/>
          </w:rPr>
          <w:t>.PDF</w:t>
        </w:r>
      </w:hyperlink>
    </w:p>
    <w:sectPr w:rsidR="000C68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0B" w:rsidRDefault="000C680B" w:rsidP="00630BDC">
      <w:r>
        <w:separator/>
      </w:r>
    </w:p>
  </w:endnote>
  <w:endnote w:type="continuationSeparator" w:id="1">
    <w:p w:rsidR="000C680B" w:rsidRDefault="000C680B" w:rsidP="00630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0B" w:rsidRDefault="000C680B" w:rsidP="00630BDC">
      <w:r>
        <w:separator/>
      </w:r>
    </w:p>
  </w:footnote>
  <w:footnote w:type="continuationSeparator" w:id="1">
    <w:p w:rsidR="000C680B" w:rsidRDefault="000C680B" w:rsidP="00630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BDC"/>
    <w:rsid w:val="000C680B"/>
    <w:rsid w:val="00630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0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0BDC"/>
    <w:rPr>
      <w:sz w:val="18"/>
      <w:szCs w:val="18"/>
    </w:rPr>
  </w:style>
  <w:style w:type="paragraph" w:styleId="a4">
    <w:name w:val="footer"/>
    <w:basedOn w:val="a"/>
    <w:link w:val="Char0"/>
    <w:uiPriority w:val="99"/>
    <w:semiHidden/>
    <w:unhideWhenUsed/>
    <w:rsid w:val="00630B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0BDC"/>
    <w:rPr>
      <w:sz w:val="18"/>
      <w:szCs w:val="18"/>
    </w:rPr>
  </w:style>
  <w:style w:type="character" w:styleId="a5">
    <w:name w:val="Hyperlink"/>
    <w:basedOn w:val="a0"/>
    <w:uiPriority w:val="99"/>
    <w:semiHidden/>
    <w:unhideWhenUsed/>
    <w:rsid w:val="00630BDC"/>
    <w:rPr>
      <w:strike w:val="0"/>
      <w:dstrike w:val="0"/>
      <w:color w:val="000000"/>
      <w:u w:val="none"/>
      <w:effect w:val="none"/>
    </w:rPr>
  </w:style>
  <w:style w:type="paragraph" w:styleId="a6">
    <w:name w:val="Normal (Web)"/>
    <w:basedOn w:val="a"/>
    <w:uiPriority w:val="99"/>
    <w:semiHidden/>
    <w:unhideWhenUsed/>
    <w:rsid w:val="00630BDC"/>
    <w:pPr>
      <w:widowControl/>
      <w:jc w:val="left"/>
    </w:pPr>
    <w:rPr>
      <w:rFonts w:ascii="宋体" w:eastAsia="宋体" w:hAnsi="宋体" w:cs="宋体"/>
      <w:kern w:val="0"/>
      <w:sz w:val="24"/>
      <w:szCs w:val="24"/>
    </w:rPr>
  </w:style>
  <w:style w:type="paragraph" w:customStyle="1" w:styleId="1">
    <w:name w:val="1"/>
    <w:basedOn w:val="a"/>
    <w:rsid w:val="00630BDC"/>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34893421">
      <w:bodyDiv w:val="1"/>
      <w:marLeft w:val="0"/>
      <w:marRight w:val="0"/>
      <w:marTop w:val="0"/>
      <w:marBottom w:val="0"/>
      <w:divBdr>
        <w:top w:val="none" w:sz="0" w:space="0" w:color="auto"/>
        <w:left w:val="none" w:sz="0" w:space="0" w:color="auto"/>
        <w:bottom w:val="none" w:sz="0" w:space="0" w:color="auto"/>
        <w:right w:val="none" w:sz="0" w:space="0" w:color="auto"/>
      </w:divBdr>
      <w:divsChild>
        <w:div w:id="860751421">
          <w:marLeft w:val="0"/>
          <w:marRight w:val="0"/>
          <w:marTop w:val="0"/>
          <w:marBottom w:val="0"/>
          <w:divBdr>
            <w:top w:val="none" w:sz="0" w:space="0" w:color="auto"/>
            <w:left w:val="none" w:sz="0" w:space="0" w:color="auto"/>
            <w:bottom w:val="none" w:sz="0" w:space="0" w:color="auto"/>
            <w:right w:val="none" w:sz="0" w:space="0" w:color="auto"/>
          </w:divBdr>
          <w:divsChild>
            <w:div w:id="328367614">
              <w:marLeft w:val="0"/>
              <w:marRight w:val="0"/>
              <w:marTop w:val="0"/>
              <w:marBottom w:val="0"/>
              <w:divBdr>
                <w:top w:val="single" w:sz="6" w:space="15" w:color="AAE5EB"/>
                <w:left w:val="single" w:sz="6" w:space="15" w:color="AAE5EB"/>
                <w:bottom w:val="single" w:sz="6" w:space="15" w:color="AAE5EB"/>
                <w:right w:val="single" w:sz="6" w:space="15" w:color="AAE5EB"/>
              </w:divBdr>
              <w:divsChild>
                <w:div w:id="8252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wz/view/index/layout3/index.jsp?siteId=1&amp;infoId=519669&amp;channelId=49" TargetMode="External"/><Relationship Id="rId13" Type="http://schemas.openxmlformats.org/officeDocument/2006/relationships/hyperlink" Target="http://tkjy.gzggzy.cn:81/2019/9/%BD%BB%D2%D7%C6%BD%CC%A8/%B9%FA%CD%C1%BD%BB%D2%D7/%B9%FA%D3%D0%BD%A8%C9%E8%D3%C3%B5%D8%CA%B9%D3%C3%C8%A8%B3%F6%C8%C3%BA%CF%CD%AC%28%B4%F3%B8%C9%CE%A7%CE%F7%B2%E0%B5%D8%BF%E9%A3%A9_chejin_1568771245513.doc" TargetMode="External"/><Relationship Id="rId3" Type="http://schemas.openxmlformats.org/officeDocument/2006/relationships/webSettings" Target="webSettings.xml"/><Relationship Id="rId7" Type="http://schemas.openxmlformats.org/officeDocument/2006/relationships/hyperlink" Target="http://www.gzggzy.cn/cms/wz/view/index/layout3/index.jsp?siteId=1&amp;infoId=406053&amp;channelId=712" TargetMode="External"/><Relationship Id="rId12" Type="http://schemas.openxmlformats.org/officeDocument/2006/relationships/hyperlink" Target="http://www.gzggzy.c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kjy.gzggzy.cn/SignOnServlet" TargetMode="External"/><Relationship Id="rId11" Type="http://schemas.openxmlformats.org/officeDocument/2006/relationships/hyperlink" Target="http://www.gzggzy.cn/cms/wz/view/index/layout3/index.jsp?siteId=1&amp;infoId=548316&amp;channelId=4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zggzy.cn/" TargetMode="External"/><Relationship Id="rId4" Type="http://schemas.openxmlformats.org/officeDocument/2006/relationships/footnotes" Target="footnotes.xml"/><Relationship Id="rId9" Type="http://schemas.openxmlformats.org/officeDocument/2006/relationships/hyperlink" Target="http://www.gzggzy.cn/cms/html/wz/view/index/layout2/tdkc_fwzq_wtr.html?channelId=752" TargetMode="External"/><Relationship Id="rId14" Type="http://schemas.openxmlformats.org/officeDocument/2006/relationships/hyperlink" Target="http://tkjy.gzggzy.cn:81/2019/9/%BD%BB%D2%D7%C6%BD%CC%A8/%B9%FA%CD%C1%BD%BB%D2%D7/%B4%F3%B8%C9%CE%A7%CE%F7%B2%E0%B5%D8%BF%E9%B9%E6%BB%AE%CC%F5%BC%FE_chejin_156877125726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3654</Characters>
  <Application>Microsoft Office Word</Application>
  <DocSecurity>0</DocSecurity>
  <Lines>30</Lines>
  <Paragraphs>8</Paragraphs>
  <ScaleCrop>false</ScaleCrop>
  <Company>Sky123.Org</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2019-09-18T03:24:00Z</dcterms:created>
  <dcterms:modified xsi:type="dcterms:W3CDTF">2019-09-18T03:25:00Z</dcterms:modified>
</cp:coreProperties>
</file>