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83" w:rsidRPr="00272E83" w:rsidRDefault="00272E83" w:rsidP="00272E83">
      <w:pPr>
        <w:widowControl/>
        <w:jc w:val="center"/>
        <w:rPr>
          <w:rFonts w:ascii="微软雅黑" w:eastAsia="微软雅黑" w:hAnsi="微软雅黑" w:cs="宋体"/>
          <w:b/>
          <w:bCs/>
          <w:color w:val="4E5E6E"/>
          <w:kern w:val="0"/>
          <w:sz w:val="27"/>
          <w:szCs w:val="27"/>
        </w:rPr>
      </w:pPr>
      <w:r w:rsidRPr="00272E83">
        <w:rPr>
          <w:rFonts w:ascii="微软雅黑" w:eastAsia="微软雅黑" w:hAnsi="微软雅黑" w:cs="宋体" w:hint="eastAsia"/>
          <w:b/>
          <w:bCs/>
          <w:color w:val="4E5E6E"/>
          <w:kern w:val="0"/>
          <w:sz w:val="27"/>
          <w:szCs w:val="27"/>
        </w:rPr>
        <w:t>成都市拍卖出让国有建设用地使用权公告(成公</w:t>
      </w:r>
      <w:proofErr w:type="gramStart"/>
      <w:r w:rsidRPr="00272E83">
        <w:rPr>
          <w:rFonts w:ascii="微软雅黑" w:eastAsia="微软雅黑" w:hAnsi="微软雅黑" w:cs="宋体" w:hint="eastAsia"/>
          <w:b/>
          <w:bCs/>
          <w:color w:val="4E5E6E"/>
          <w:kern w:val="0"/>
          <w:sz w:val="27"/>
          <w:szCs w:val="27"/>
        </w:rPr>
        <w:t>资土拍告</w:t>
      </w:r>
      <w:proofErr w:type="gramEnd"/>
      <w:r w:rsidRPr="00272E83">
        <w:rPr>
          <w:rFonts w:ascii="微软雅黑" w:eastAsia="微软雅黑" w:hAnsi="微软雅黑" w:cs="宋体" w:hint="eastAsia"/>
          <w:b/>
          <w:bCs/>
          <w:color w:val="4E5E6E"/>
          <w:kern w:val="0"/>
          <w:sz w:val="27"/>
          <w:szCs w:val="27"/>
        </w:rPr>
        <w:t>(2019)56号)</w:t>
      </w:r>
    </w:p>
    <w:p w:rsidR="00272E83" w:rsidRPr="00272E83" w:rsidRDefault="00272E83" w:rsidP="00272E83">
      <w:pPr>
        <w:widowControl/>
        <w:jc w:val="center"/>
        <w:rPr>
          <w:rFonts w:ascii="微软雅黑" w:eastAsia="微软雅黑" w:hAnsi="微软雅黑" w:cs="宋体" w:hint="eastAsia"/>
          <w:color w:val="9D9D9D"/>
          <w:kern w:val="0"/>
          <w:sz w:val="18"/>
          <w:szCs w:val="18"/>
        </w:rPr>
      </w:pPr>
      <w:r w:rsidRPr="00272E83">
        <w:rPr>
          <w:rFonts w:ascii="微软雅黑" w:eastAsia="微软雅黑" w:hAnsi="微软雅黑" w:cs="宋体" w:hint="eastAsia"/>
          <w:color w:val="9D9D9D"/>
          <w:kern w:val="0"/>
          <w:sz w:val="18"/>
          <w:szCs w:val="18"/>
        </w:rPr>
        <w:t>日期：2019-10-17</w:t>
      </w:r>
    </w:p>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color w:val="000000"/>
          <w:kern w:val="0"/>
          <w:sz w:val="27"/>
          <w:szCs w:val="27"/>
        </w:rPr>
      </w:pPr>
      <w:r w:rsidRPr="00272E83">
        <w:rPr>
          <w:rFonts w:ascii="宋体" w:eastAsia="宋体" w:hAnsi="宋体" w:cs="宋体" w:hint="eastAsia"/>
          <w:color w:val="000000"/>
          <w:kern w:val="0"/>
          <w:sz w:val="24"/>
          <w:szCs w:val="24"/>
        </w:rPr>
        <w:t xml:space="preserve">    根据《土地管理法》、《城市房地产管理法》、国土资源部39号令、《成都市人民政府关于贯彻省政府&lt;关于进一步加强土地出让管理规定&gt;的实施意见》（成府发〔2015〕21号）等规定及《国有建设用地使用权出让方案》，成都市公共资源交易服务中心受出让人委托在成都市高新区天府大道北段966号天府国际金融中心7号楼，以拍卖方式组织出让 3 </w:t>
      </w:r>
      <w:proofErr w:type="gramStart"/>
      <w:r w:rsidRPr="00272E83">
        <w:rPr>
          <w:rFonts w:ascii="宋体" w:eastAsia="宋体" w:hAnsi="宋体" w:cs="宋体" w:hint="eastAsia"/>
          <w:color w:val="000000"/>
          <w:kern w:val="0"/>
          <w:sz w:val="24"/>
          <w:szCs w:val="24"/>
        </w:rPr>
        <w:t>宗国有</w:t>
      </w:r>
      <w:proofErr w:type="gramEnd"/>
      <w:r w:rsidRPr="00272E83">
        <w:rPr>
          <w:rFonts w:ascii="宋体" w:eastAsia="宋体" w:hAnsi="宋体" w:cs="宋体" w:hint="eastAsia"/>
          <w:color w:val="000000"/>
          <w:kern w:val="0"/>
          <w:sz w:val="24"/>
          <w:szCs w:val="24"/>
        </w:rPr>
        <w:t>建设用地使用权。现就有关事项公告如下：</w:t>
      </w:r>
    </w:p>
    <w:p w:rsidR="00272E83" w:rsidRPr="00272E83" w:rsidRDefault="00272E83" w:rsidP="00272E83">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一、拍卖出让宗地基本情况：</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331"/>
        <w:gridCol w:w="1101"/>
        <w:gridCol w:w="345"/>
        <w:gridCol w:w="830"/>
        <w:gridCol w:w="521"/>
        <w:gridCol w:w="433"/>
        <w:gridCol w:w="521"/>
        <w:gridCol w:w="521"/>
        <w:gridCol w:w="918"/>
        <w:gridCol w:w="492"/>
        <w:gridCol w:w="521"/>
        <w:gridCol w:w="669"/>
        <w:gridCol w:w="742"/>
        <w:gridCol w:w="345"/>
      </w:tblGrid>
      <w:tr w:rsidR="00272E83" w:rsidRPr="00272E83" w:rsidTr="00272E83">
        <w:tc>
          <w:tcPr>
            <w:tcW w:w="405" w:type="dxa"/>
            <w:vMerge w:val="restart"/>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序号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宗地编号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宗地位置</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净用地面积（平方米）</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土地用途及使用年限</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拍卖起叫价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竞买保证金（万元）</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拍卖出</w:t>
            </w:r>
          </w:p>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让时间</w:t>
            </w:r>
          </w:p>
        </w:tc>
        <w:tc>
          <w:tcPr>
            <w:tcW w:w="4335" w:type="dxa"/>
            <w:gridSpan w:val="4"/>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规划设计条件</w:t>
            </w:r>
          </w:p>
        </w:tc>
        <w:tc>
          <w:tcPr>
            <w:tcW w:w="1080" w:type="dxa"/>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jc w:val="left"/>
              <w:rPr>
                <w:rFonts w:ascii="微软雅黑" w:eastAsia="微软雅黑" w:hAnsi="微软雅黑" w:cs="宋体" w:hint="eastAsia"/>
                <w:kern w:val="0"/>
                <w:sz w:val="24"/>
                <w:szCs w:val="24"/>
              </w:rPr>
            </w:pP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出让人</w:t>
            </w:r>
          </w:p>
        </w:tc>
      </w:tr>
      <w:tr w:rsidR="00272E83" w:rsidRPr="00272E83" w:rsidTr="00272E83">
        <w:tc>
          <w:tcPr>
            <w:tcW w:w="0" w:type="auto"/>
            <w:vMerge/>
            <w:tcBorders>
              <w:top w:val="single" w:sz="6" w:space="0" w:color="auto"/>
              <w:left w:val="single" w:sz="6" w:space="0" w:color="auto"/>
              <w:bottom w:val="single" w:sz="6" w:space="0" w:color="666666"/>
              <w:right w:val="single" w:sz="6" w:space="0" w:color="666666"/>
            </w:tcBorders>
            <w:vAlign w:val="center"/>
            <w:hideMark/>
          </w:tcPr>
          <w:p w:rsidR="00272E83" w:rsidRPr="00272E83" w:rsidRDefault="00272E83" w:rsidP="00272E8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272E83" w:rsidRPr="00272E83" w:rsidRDefault="00272E83" w:rsidP="00272E8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272E83" w:rsidRPr="00272E83" w:rsidRDefault="00272E83" w:rsidP="00272E8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272E83" w:rsidRPr="00272E83" w:rsidRDefault="00272E83" w:rsidP="00272E8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272E83" w:rsidRPr="00272E83" w:rsidRDefault="00272E83" w:rsidP="00272E8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272E83" w:rsidRPr="00272E83" w:rsidRDefault="00272E83" w:rsidP="00272E8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272E83" w:rsidRPr="00272E83" w:rsidRDefault="00272E83" w:rsidP="00272E83">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272E83" w:rsidRPr="00272E83" w:rsidRDefault="00272E83" w:rsidP="00272E83">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计入容积率总建筑面积</w:t>
            </w:r>
            <w:r w:rsidRPr="00272E83">
              <w:rPr>
                <w:rFonts w:ascii="Times New Roman" w:eastAsia="微软雅黑" w:hAnsi="Times New Roman" w:cs="Times New Roman"/>
                <w:color w:val="000000"/>
                <w:kern w:val="0"/>
                <w:sz w:val="18"/>
                <w:szCs w:val="18"/>
              </w:rPr>
              <w:t>/</w:t>
            </w:r>
            <w:r w:rsidRPr="00272E83">
              <w:rPr>
                <w:rFonts w:ascii="宋体" w:eastAsia="宋体" w:hAnsi="宋体" w:cs="宋体" w:hint="eastAsia"/>
                <w:color w:val="000000"/>
                <w:kern w:val="0"/>
                <w:sz w:val="18"/>
                <w:szCs w:val="18"/>
              </w:rPr>
              <w:t>容积率</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建筑密度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建筑高度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规划用地</w:t>
            </w:r>
          </w:p>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使用性质</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持证准用</w:t>
            </w:r>
          </w:p>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面积</w:t>
            </w:r>
            <w:r w:rsidRPr="00272E83">
              <w:rPr>
                <w:rFonts w:ascii="Times New Roman" w:eastAsia="微软雅黑" w:hAnsi="Times New Roman" w:cs="Times New Roman"/>
                <w:color w:val="000000"/>
                <w:kern w:val="0"/>
                <w:sz w:val="18"/>
                <w:szCs w:val="18"/>
              </w:rPr>
              <w:t>(</w:t>
            </w:r>
            <w:r w:rsidRPr="00272E83">
              <w:rPr>
                <w:rFonts w:ascii="宋体" w:eastAsia="宋体" w:hAnsi="宋体" w:cs="宋体" w:hint="eastAsia"/>
                <w:color w:val="000000"/>
                <w:kern w:val="0"/>
                <w:sz w:val="18"/>
                <w:szCs w:val="18"/>
              </w:rPr>
              <w:t>亩</w:t>
            </w:r>
            <w:r w:rsidRPr="00272E83">
              <w:rPr>
                <w:rFonts w:ascii="Times New Roman" w:eastAsia="微软雅黑" w:hAnsi="Times New Roman" w:cs="Times New Roman"/>
                <w:color w:val="000000"/>
                <w:kern w:val="0"/>
                <w:sz w:val="18"/>
                <w:szCs w:val="18"/>
              </w:rPr>
              <w:t>)</w:t>
            </w:r>
          </w:p>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及方式</w:t>
            </w:r>
          </w:p>
        </w:tc>
        <w:tc>
          <w:tcPr>
            <w:tcW w:w="0" w:type="auto"/>
            <w:vMerge/>
            <w:tcBorders>
              <w:top w:val="single" w:sz="6" w:space="0" w:color="auto"/>
              <w:left w:val="nil"/>
              <w:bottom w:val="single" w:sz="6" w:space="0" w:color="666666"/>
              <w:right w:val="single" w:sz="6" w:space="0" w:color="666666"/>
            </w:tcBorders>
            <w:vAlign w:val="center"/>
            <w:hideMark/>
          </w:tcPr>
          <w:p w:rsidR="00272E83" w:rsidRPr="00272E83" w:rsidRDefault="00272E83" w:rsidP="00272E83">
            <w:pPr>
              <w:widowControl/>
              <w:jc w:val="left"/>
              <w:rPr>
                <w:rFonts w:ascii="微软雅黑" w:eastAsia="微软雅黑" w:hAnsi="微软雅黑" w:cs="宋体"/>
                <w:kern w:val="0"/>
                <w:sz w:val="24"/>
                <w:szCs w:val="24"/>
              </w:rPr>
            </w:pPr>
          </w:p>
        </w:tc>
      </w:tr>
      <w:tr w:rsidR="00272E83" w:rsidRPr="00272E83" w:rsidTr="00272E83">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CZ2019-07</w:t>
            </w:r>
            <w:r w:rsidRPr="00272E83">
              <w:rPr>
                <w:rFonts w:ascii="宋体" w:eastAsia="宋体" w:hAnsi="宋体" w:cs="宋体" w:hint="eastAsia"/>
                <w:color w:val="000000"/>
                <w:kern w:val="0"/>
                <w:sz w:val="18"/>
                <w:szCs w:val="18"/>
              </w:rPr>
              <w:t>（</w:t>
            </w:r>
            <w:r w:rsidRPr="00272E83">
              <w:rPr>
                <w:rFonts w:ascii="Times New Roman" w:eastAsia="微软雅黑" w:hAnsi="Times New Roman" w:cs="Times New Roman"/>
                <w:color w:val="000000"/>
                <w:kern w:val="0"/>
                <w:sz w:val="18"/>
                <w:szCs w:val="18"/>
              </w:rPr>
              <w:t>252/211</w:t>
            </w:r>
            <w:r w:rsidRPr="00272E83">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崇州市</w:t>
            </w:r>
            <w:proofErr w:type="gramStart"/>
            <w:r w:rsidRPr="00272E83">
              <w:rPr>
                <w:rFonts w:ascii="宋体" w:eastAsia="宋体" w:hAnsi="宋体" w:cs="宋体" w:hint="eastAsia"/>
                <w:color w:val="000000"/>
                <w:kern w:val="0"/>
                <w:sz w:val="18"/>
                <w:szCs w:val="18"/>
              </w:rPr>
              <w:t>崇阳镇晋康南路</w:t>
            </w:r>
            <w:proofErr w:type="gramEnd"/>
            <w:r w:rsidRPr="00272E83">
              <w:rPr>
                <w:rFonts w:ascii="宋体" w:eastAsia="宋体" w:hAnsi="宋体" w:cs="宋体" w:hint="eastAsia"/>
                <w:color w:val="000000"/>
                <w:kern w:val="0"/>
                <w:sz w:val="18"/>
                <w:szCs w:val="18"/>
              </w:rPr>
              <w:t>与学苑东路交叉口西北侧</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37662.62</w:t>
            </w:r>
          </w:p>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合</w:t>
            </w:r>
            <w:r w:rsidRPr="00272E83">
              <w:rPr>
                <w:rFonts w:ascii="Times New Roman" w:eastAsia="微软雅黑" w:hAnsi="Times New Roman" w:cs="Times New Roman"/>
                <w:color w:val="000000"/>
                <w:kern w:val="0"/>
                <w:sz w:val="18"/>
                <w:szCs w:val="18"/>
              </w:rPr>
              <w:t>56.4939</w:t>
            </w:r>
            <w:r w:rsidRPr="00272E83">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住宅兼容商业</w:t>
            </w:r>
          </w:p>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住宅</w:t>
            </w:r>
            <w:r w:rsidRPr="00272E83">
              <w:rPr>
                <w:rFonts w:ascii="Times New Roman" w:eastAsia="微软雅黑" w:hAnsi="Times New Roman" w:cs="Times New Roman"/>
                <w:color w:val="000000"/>
                <w:kern w:val="0"/>
                <w:sz w:val="18"/>
                <w:szCs w:val="18"/>
              </w:rPr>
              <w:t>70</w:t>
            </w:r>
            <w:r w:rsidRPr="00272E83">
              <w:rPr>
                <w:rFonts w:ascii="宋体" w:eastAsia="宋体" w:hAnsi="宋体" w:cs="宋体" w:hint="eastAsia"/>
                <w:color w:val="000000"/>
                <w:kern w:val="0"/>
                <w:sz w:val="18"/>
                <w:szCs w:val="18"/>
              </w:rPr>
              <w:t>年</w:t>
            </w:r>
            <w:r w:rsidRPr="00272E83">
              <w:rPr>
                <w:rFonts w:ascii="Times New Roman" w:eastAsia="微软雅黑" w:hAnsi="Times New Roman" w:cs="Times New Roman"/>
                <w:color w:val="000000"/>
                <w:kern w:val="0"/>
                <w:sz w:val="18"/>
                <w:szCs w:val="18"/>
              </w:rPr>
              <w:t>,</w:t>
            </w:r>
            <w:r w:rsidRPr="00272E83">
              <w:rPr>
                <w:rFonts w:ascii="宋体" w:eastAsia="宋体" w:hAnsi="宋体" w:cs="宋体" w:hint="eastAsia"/>
                <w:color w:val="000000"/>
                <w:kern w:val="0"/>
                <w:sz w:val="18"/>
                <w:szCs w:val="18"/>
              </w:rPr>
              <w:t>商业</w:t>
            </w:r>
            <w:r w:rsidRPr="00272E83">
              <w:rPr>
                <w:rFonts w:ascii="Times New Roman" w:eastAsia="微软雅黑" w:hAnsi="Times New Roman" w:cs="Times New Roman"/>
                <w:color w:val="000000"/>
                <w:kern w:val="0"/>
                <w:sz w:val="18"/>
                <w:szCs w:val="18"/>
              </w:rPr>
              <w:t>40</w:t>
            </w:r>
            <w:r w:rsidRPr="00272E83">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200</w:t>
            </w:r>
            <w:r w:rsidRPr="00272E83">
              <w:rPr>
                <w:rFonts w:ascii="宋体" w:eastAsia="宋体" w:hAnsi="宋体" w:cs="宋体" w:hint="eastAsia"/>
                <w:color w:val="000000"/>
                <w:kern w:val="0"/>
                <w:sz w:val="18"/>
                <w:szCs w:val="18"/>
              </w:rPr>
              <w:t>万元</w:t>
            </w:r>
            <w:r w:rsidRPr="00272E83">
              <w:rPr>
                <w:rFonts w:ascii="Times New Roman" w:eastAsia="微软雅黑" w:hAnsi="Times New Roman" w:cs="Times New Roman"/>
                <w:color w:val="000000"/>
                <w:kern w:val="0"/>
                <w:sz w:val="18"/>
                <w:szCs w:val="18"/>
              </w:rPr>
              <w:t>/</w:t>
            </w:r>
            <w:r w:rsidRPr="00272E83">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2300</w:t>
            </w:r>
          </w:p>
        </w:tc>
        <w:tc>
          <w:tcPr>
            <w:tcW w:w="1080" w:type="dxa"/>
            <w:vMerge w:val="restart"/>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272E83" w:rsidRPr="00272E83" w:rsidRDefault="00272E83" w:rsidP="00272E83">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2019</w:t>
            </w:r>
            <w:r w:rsidRPr="00272E83">
              <w:rPr>
                <w:rFonts w:ascii="宋体" w:eastAsia="宋体" w:hAnsi="宋体" w:cs="宋体" w:hint="eastAsia"/>
                <w:color w:val="000000"/>
                <w:kern w:val="0"/>
                <w:sz w:val="18"/>
                <w:szCs w:val="18"/>
              </w:rPr>
              <w:t>年</w:t>
            </w:r>
            <w:r w:rsidRPr="00272E83">
              <w:rPr>
                <w:rFonts w:ascii="Times New Roman" w:eastAsia="微软雅黑" w:hAnsi="Times New Roman" w:cs="Times New Roman"/>
                <w:color w:val="000000"/>
                <w:kern w:val="0"/>
                <w:sz w:val="18"/>
                <w:szCs w:val="18"/>
              </w:rPr>
              <w:t>11</w:t>
            </w:r>
            <w:r w:rsidRPr="00272E83">
              <w:rPr>
                <w:rFonts w:ascii="宋体" w:eastAsia="宋体" w:hAnsi="宋体" w:cs="宋体" w:hint="eastAsia"/>
                <w:color w:val="000000"/>
                <w:kern w:val="0"/>
                <w:sz w:val="18"/>
                <w:szCs w:val="18"/>
              </w:rPr>
              <w:t>月</w:t>
            </w:r>
            <w:r w:rsidRPr="00272E83">
              <w:rPr>
                <w:rFonts w:ascii="Times New Roman" w:eastAsia="微软雅黑" w:hAnsi="Times New Roman" w:cs="Times New Roman"/>
                <w:color w:val="000000"/>
                <w:kern w:val="0"/>
                <w:sz w:val="18"/>
                <w:szCs w:val="18"/>
              </w:rPr>
              <w:t>07</w:t>
            </w:r>
            <w:r w:rsidRPr="00272E83">
              <w:rPr>
                <w:rFonts w:ascii="宋体" w:eastAsia="宋体" w:hAnsi="宋体" w:cs="宋体" w:hint="eastAsia"/>
                <w:color w:val="000000"/>
                <w:kern w:val="0"/>
                <w:sz w:val="18"/>
                <w:szCs w:val="18"/>
              </w:rPr>
              <w:t>日</w:t>
            </w:r>
            <w:r w:rsidRPr="00272E83">
              <w:rPr>
                <w:rFonts w:ascii="Times New Roman" w:eastAsia="微软雅黑" w:hAnsi="Times New Roman" w:cs="Times New Roman"/>
                <w:color w:val="000000"/>
                <w:kern w:val="0"/>
                <w:sz w:val="18"/>
                <w:szCs w:val="18"/>
              </w:rPr>
              <w:t>10</w:t>
            </w:r>
            <w:r w:rsidRPr="00272E83">
              <w:rPr>
                <w:rFonts w:ascii="宋体" w:eastAsia="宋体" w:hAnsi="宋体" w:cs="宋体" w:hint="eastAsia"/>
                <w:color w:val="000000"/>
                <w:kern w:val="0"/>
                <w:sz w:val="18"/>
                <w:szCs w:val="18"/>
              </w:rPr>
              <w:t>时</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计入容积率总建筑面积不大于</w:t>
            </w:r>
            <w:r w:rsidRPr="00272E83">
              <w:rPr>
                <w:rFonts w:ascii="Times New Roman" w:eastAsia="微软雅黑" w:hAnsi="Times New Roman" w:cs="Times New Roman"/>
                <w:color w:val="000000"/>
                <w:kern w:val="0"/>
                <w:sz w:val="18"/>
                <w:szCs w:val="18"/>
              </w:rPr>
              <w:t>131819.15</w:t>
            </w:r>
            <w:r w:rsidRPr="00272E83">
              <w:rPr>
                <w:rFonts w:ascii="宋体" w:eastAsia="宋体" w:hAnsi="宋体" w:cs="宋体" w:hint="eastAsia"/>
                <w:color w:val="000000"/>
                <w:kern w:val="0"/>
                <w:sz w:val="18"/>
                <w:szCs w:val="18"/>
              </w:rPr>
              <w:t>平方米（容积率＞</w:t>
            </w:r>
            <w:r w:rsidRPr="00272E83">
              <w:rPr>
                <w:rFonts w:ascii="Times New Roman" w:eastAsia="微软雅黑" w:hAnsi="Times New Roman" w:cs="Times New Roman"/>
                <w:color w:val="000000"/>
                <w:kern w:val="0"/>
                <w:sz w:val="18"/>
                <w:szCs w:val="18"/>
              </w:rPr>
              <w:t>1.0</w:t>
            </w:r>
            <w:r w:rsidRPr="00272E83">
              <w:rPr>
                <w:rFonts w:ascii="宋体" w:eastAsia="宋体" w:hAnsi="宋体" w:cs="宋体" w:hint="eastAsia"/>
                <w:color w:val="000000"/>
                <w:kern w:val="0"/>
                <w:sz w:val="18"/>
                <w:szCs w:val="18"/>
              </w:rPr>
              <w:t>且≤</w:t>
            </w:r>
            <w:r w:rsidRPr="00272E83">
              <w:rPr>
                <w:rFonts w:ascii="Times New Roman" w:eastAsia="微软雅黑" w:hAnsi="Times New Roman" w:cs="Times New Roman"/>
                <w:color w:val="000000"/>
                <w:kern w:val="0"/>
                <w:sz w:val="18"/>
                <w:szCs w:val="18"/>
              </w:rPr>
              <w:t>3.5</w:t>
            </w:r>
            <w:r w:rsidRPr="00272E83">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不大于</w:t>
            </w:r>
            <w:r w:rsidRPr="00272E83">
              <w:rPr>
                <w:rFonts w:ascii="Times New Roman" w:eastAsia="微软雅黑" w:hAnsi="Times New Roman" w:cs="Times New Roman"/>
                <w:color w:val="000000"/>
                <w:kern w:val="0"/>
                <w:sz w:val="18"/>
                <w:szCs w:val="18"/>
              </w:rPr>
              <w:t>25%</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不超过</w:t>
            </w:r>
            <w:r w:rsidRPr="00272E83">
              <w:rPr>
                <w:rFonts w:ascii="Times New Roman" w:eastAsia="微软雅黑" w:hAnsi="Times New Roman" w:cs="Times New Roman"/>
                <w:color w:val="000000"/>
                <w:kern w:val="0"/>
                <w:sz w:val="18"/>
                <w:szCs w:val="18"/>
              </w:rPr>
              <w:t>80</w:t>
            </w:r>
            <w:r w:rsidRPr="00272E83">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二类住宅用地（兼容商业用地比例不大于</w:t>
            </w:r>
            <w:r w:rsidRPr="00272E83">
              <w:rPr>
                <w:rFonts w:ascii="Times New Roman" w:eastAsia="微软雅黑" w:hAnsi="Times New Roman" w:cs="Times New Roman"/>
                <w:color w:val="000000"/>
                <w:kern w:val="0"/>
                <w:sz w:val="18"/>
                <w:szCs w:val="18"/>
              </w:rPr>
              <w:t>5%</w:t>
            </w:r>
            <w:r w:rsidRPr="00272E83">
              <w:rPr>
                <w:rFonts w:ascii="宋体" w:eastAsia="宋体" w:hAnsi="宋体" w:cs="宋体" w:hint="eastAsia"/>
                <w:color w:val="000000"/>
                <w:kern w:val="0"/>
                <w:sz w:val="18"/>
                <w:szCs w:val="18"/>
              </w:rPr>
              <w:t>，兼容比例系指兼容类的计容建筑面积与该项目计入容积</w:t>
            </w:r>
            <w:r w:rsidRPr="00272E83">
              <w:rPr>
                <w:rFonts w:ascii="宋体" w:eastAsia="宋体" w:hAnsi="宋体" w:cs="宋体" w:hint="eastAsia"/>
                <w:color w:val="000000"/>
                <w:kern w:val="0"/>
                <w:sz w:val="18"/>
                <w:szCs w:val="18"/>
              </w:rPr>
              <w:lastRenderedPageBreak/>
              <w:t>率的建筑面积的比例）</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lastRenderedPageBreak/>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崇州市规划和自然资源局</w:t>
            </w:r>
          </w:p>
        </w:tc>
      </w:tr>
      <w:tr w:rsidR="00272E83" w:rsidRPr="00272E83" w:rsidTr="00272E83">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DY2019-012</w:t>
            </w:r>
            <w:r w:rsidRPr="00272E83">
              <w:rPr>
                <w:rFonts w:ascii="宋体" w:eastAsia="宋体" w:hAnsi="宋体" w:cs="宋体" w:hint="eastAsia"/>
                <w:color w:val="000000"/>
                <w:kern w:val="0"/>
                <w:sz w:val="18"/>
                <w:szCs w:val="18"/>
              </w:rPr>
              <w:t>（</w:t>
            </w:r>
            <w:r w:rsidRPr="00272E83">
              <w:rPr>
                <w:rFonts w:ascii="Times New Roman" w:eastAsia="微软雅黑" w:hAnsi="Times New Roman" w:cs="Times New Roman"/>
                <w:color w:val="000000"/>
                <w:kern w:val="0"/>
                <w:sz w:val="18"/>
                <w:szCs w:val="18"/>
              </w:rPr>
              <w:t>252</w:t>
            </w:r>
            <w:r w:rsidRPr="00272E83">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大邑县晋原街道</w:t>
            </w:r>
            <w:proofErr w:type="gramStart"/>
            <w:r w:rsidRPr="00272E83">
              <w:rPr>
                <w:rFonts w:ascii="宋体" w:eastAsia="宋体" w:hAnsi="宋体" w:cs="宋体" w:hint="eastAsia"/>
                <w:color w:val="000000"/>
                <w:kern w:val="0"/>
                <w:sz w:val="18"/>
                <w:szCs w:val="18"/>
              </w:rPr>
              <w:t>邑</w:t>
            </w:r>
            <w:proofErr w:type="gramEnd"/>
            <w:r w:rsidRPr="00272E83">
              <w:rPr>
                <w:rFonts w:ascii="宋体" w:eastAsia="宋体" w:hAnsi="宋体" w:cs="宋体" w:hint="eastAsia"/>
                <w:color w:val="000000"/>
                <w:kern w:val="0"/>
                <w:sz w:val="18"/>
                <w:szCs w:val="18"/>
              </w:rPr>
              <w:t>新大道</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20002.27</w:t>
            </w:r>
          </w:p>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合</w:t>
            </w:r>
            <w:r w:rsidRPr="00272E83">
              <w:rPr>
                <w:rFonts w:ascii="Times New Roman" w:eastAsia="微软雅黑" w:hAnsi="Times New Roman" w:cs="Times New Roman"/>
                <w:color w:val="000000"/>
                <w:kern w:val="0"/>
                <w:sz w:val="18"/>
                <w:szCs w:val="18"/>
              </w:rPr>
              <w:t>30.0034</w:t>
            </w:r>
            <w:r w:rsidRPr="00272E83">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二类住宅用地</w:t>
            </w:r>
          </w:p>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住宅</w:t>
            </w:r>
            <w:r w:rsidRPr="00272E83">
              <w:rPr>
                <w:rFonts w:ascii="Times New Roman" w:eastAsia="微软雅黑" w:hAnsi="Times New Roman" w:cs="Times New Roman"/>
                <w:color w:val="000000"/>
                <w:kern w:val="0"/>
                <w:sz w:val="18"/>
                <w:szCs w:val="18"/>
              </w:rPr>
              <w:t>70</w:t>
            </w:r>
            <w:r w:rsidRPr="00272E83">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430</w:t>
            </w:r>
            <w:r w:rsidRPr="00272E83">
              <w:rPr>
                <w:rFonts w:ascii="宋体" w:eastAsia="宋体" w:hAnsi="宋体" w:cs="宋体" w:hint="eastAsia"/>
                <w:color w:val="000000"/>
                <w:kern w:val="0"/>
                <w:sz w:val="18"/>
                <w:szCs w:val="18"/>
              </w:rPr>
              <w:t>万元</w:t>
            </w:r>
            <w:r w:rsidRPr="00272E83">
              <w:rPr>
                <w:rFonts w:ascii="Times New Roman" w:eastAsia="微软雅黑" w:hAnsi="Times New Roman" w:cs="Times New Roman"/>
                <w:color w:val="000000"/>
                <w:kern w:val="0"/>
                <w:sz w:val="18"/>
                <w:szCs w:val="18"/>
              </w:rPr>
              <w:t>/</w:t>
            </w:r>
            <w:r w:rsidRPr="00272E83">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3300</w:t>
            </w:r>
          </w:p>
        </w:tc>
        <w:tc>
          <w:tcPr>
            <w:tcW w:w="0" w:type="auto"/>
            <w:vMerge/>
            <w:tcBorders>
              <w:top w:val="nil"/>
              <w:left w:val="nil"/>
              <w:bottom w:val="single" w:sz="6" w:space="0" w:color="666666"/>
              <w:right w:val="single" w:sz="6" w:space="0" w:color="666666"/>
            </w:tcBorders>
            <w:vAlign w:val="center"/>
            <w:hideMark/>
          </w:tcPr>
          <w:p w:rsidR="00272E83" w:rsidRPr="00272E83" w:rsidRDefault="00272E83" w:rsidP="00272E83">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计入容积率的总建筑面积不大于</w:t>
            </w:r>
            <w:r w:rsidRPr="00272E83">
              <w:rPr>
                <w:rFonts w:ascii="Times New Roman" w:eastAsia="微软雅黑" w:hAnsi="Times New Roman" w:cs="Times New Roman"/>
                <w:color w:val="000000"/>
                <w:kern w:val="0"/>
                <w:sz w:val="18"/>
                <w:szCs w:val="18"/>
              </w:rPr>
              <w:t>40004.54</w:t>
            </w:r>
            <w:r w:rsidRPr="00272E83">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不大于</w:t>
            </w:r>
            <w:r w:rsidRPr="00272E83">
              <w:rPr>
                <w:rFonts w:ascii="Times New Roman" w:eastAsia="微软雅黑" w:hAnsi="Times New Roman" w:cs="Times New Roman"/>
                <w:color w:val="000000"/>
                <w:kern w:val="0"/>
                <w:sz w:val="18"/>
                <w:szCs w:val="18"/>
              </w:rPr>
              <w:t>25%</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不大于</w:t>
            </w:r>
            <w:r w:rsidRPr="00272E83">
              <w:rPr>
                <w:rFonts w:ascii="Times New Roman" w:eastAsia="微软雅黑" w:hAnsi="Times New Roman" w:cs="Times New Roman"/>
                <w:color w:val="000000"/>
                <w:kern w:val="0"/>
                <w:sz w:val="18"/>
                <w:szCs w:val="18"/>
              </w:rPr>
              <w:t>60</w:t>
            </w:r>
            <w:r w:rsidRPr="00272E83">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二类住宅用地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30.0034</w:t>
            </w:r>
          </w:p>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指标价款</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大邑县规划和自然资源局</w:t>
            </w:r>
          </w:p>
        </w:tc>
      </w:tr>
      <w:tr w:rsidR="00272E83" w:rsidRPr="00272E83" w:rsidTr="00272E83">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3</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DJY2019-01</w:t>
            </w:r>
            <w:r w:rsidRPr="00272E83">
              <w:rPr>
                <w:rFonts w:ascii="宋体" w:eastAsia="宋体" w:hAnsi="宋体" w:cs="宋体" w:hint="eastAsia"/>
                <w:color w:val="000000"/>
                <w:kern w:val="0"/>
                <w:sz w:val="18"/>
                <w:szCs w:val="18"/>
              </w:rPr>
              <w:t>（</w:t>
            </w:r>
            <w:r w:rsidRPr="00272E83">
              <w:rPr>
                <w:rFonts w:ascii="Times New Roman" w:eastAsia="微软雅黑" w:hAnsi="Times New Roman" w:cs="Times New Roman"/>
                <w:color w:val="000000"/>
                <w:kern w:val="0"/>
                <w:sz w:val="18"/>
                <w:szCs w:val="18"/>
              </w:rPr>
              <w:t>0701/05</w:t>
            </w:r>
            <w:r w:rsidRPr="00272E83">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都江堰市幸福街道彩虹社区</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48139.88</w:t>
            </w:r>
          </w:p>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合</w:t>
            </w:r>
            <w:r w:rsidRPr="00272E83">
              <w:rPr>
                <w:rFonts w:ascii="Times New Roman" w:eastAsia="微软雅黑" w:hAnsi="Times New Roman" w:cs="Times New Roman"/>
                <w:color w:val="000000"/>
                <w:kern w:val="0"/>
                <w:sz w:val="18"/>
                <w:szCs w:val="18"/>
              </w:rPr>
              <w:t>72.2098</w:t>
            </w:r>
            <w:r w:rsidRPr="00272E83">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城镇住宅用地、商服用地</w:t>
            </w:r>
          </w:p>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城镇住宅用地</w:t>
            </w:r>
            <w:r w:rsidRPr="00272E83">
              <w:rPr>
                <w:rFonts w:ascii="Times New Roman" w:eastAsia="微软雅黑" w:hAnsi="Times New Roman" w:cs="Times New Roman"/>
                <w:color w:val="000000"/>
                <w:kern w:val="0"/>
                <w:sz w:val="18"/>
                <w:szCs w:val="18"/>
              </w:rPr>
              <w:t>70</w:t>
            </w:r>
            <w:r w:rsidRPr="00272E83">
              <w:rPr>
                <w:rFonts w:ascii="宋体" w:eastAsia="宋体" w:hAnsi="宋体" w:cs="宋体" w:hint="eastAsia"/>
                <w:color w:val="000000"/>
                <w:kern w:val="0"/>
                <w:sz w:val="18"/>
                <w:szCs w:val="18"/>
              </w:rPr>
              <w:t>年、商服用地</w:t>
            </w:r>
            <w:r w:rsidRPr="00272E83">
              <w:rPr>
                <w:rFonts w:ascii="Times New Roman" w:eastAsia="微软雅黑" w:hAnsi="Times New Roman" w:cs="Times New Roman"/>
                <w:color w:val="000000"/>
                <w:kern w:val="0"/>
                <w:sz w:val="18"/>
                <w:szCs w:val="18"/>
              </w:rPr>
              <w:t>40</w:t>
            </w:r>
            <w:r w:rsidRPr="00272E83">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435</w:t>
            </w:r>
            <w:r w:rsidRPr="00272E83">
              <w:rPr>
                <w:rFonts w:ascii="宋体" w:eastAsia="宋体" w:hAnsi="宋体" w:cs="宋体" w:hint="eastAsia"/>
                <w:color w:val="000000"/>
                <w:kern w:val="0"/>
                <w:sz w:val="18"/>
                <w:szCs w:val="18"/>
              </w:rPr>
              <w:t>万元</w:t>
            </w:r>
            <w:r w:rsidRPr="00272E83">
              <w:rPr>
                <w:rFonts w:ascii="Times New Roman" w:eastAsia="微软雅黑" w:hAnsi="Times New Roman" w:cs="Times New Roman"/>
                <w:color w:val="000000"/>
                <w:kern w:val="0"/>
                <w:sz w:val="18"/>
                <w:szCs w:val="18"/>
              </w:rPr>
              <w:t>/</w:t>
            </w:r>
            <w:r w:rsidRPr="00272E83">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9430</w:t>
            </w:r>
          </w:p>
        </w:tc>
        <w:tc>
          <w:tcPr>
            <w:tcW w:w="0" w:type="auto"/>
            <w:vMerge/>
            <w:tcBorders>
              <w:top w:val="nil"/>
              <w:left w:val="nil"/>
              <w:bottom w:val="single" w:sz="6" w:space="0" w:color="666666"/>
              <w:right w:val="single" w:sz="6" w:space="0" w:color="666666"/>
            </w:tcBorders>
            <w:vAlign w:val="center"/>
            <w:hideMark/>
          </w:tcPr>
          <w:p w:rsidR="00272E83" w:rsidRPr="00272E83" w:rsidRDefault="00272E83" w:rsidP="00272E83">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容积率大于</w:t>
            </w:r>
            <w:r w:rsidRPr="00272E83">
              <w:rPr>
                <w:rFonts w:ascii="Times New Roman" w:eastAsia="微软雅黑" w:hAnsi="Times New Roman" w:cs="Times New Roman"/>
                <w:color w:val="000000"/>
                <w:kern w:val="0"/>
                <w:sz w:val="18"/>
                <w:szCs w:val="18"/>
              </w:rPr>
              <w:t>1.0</w:t>
            </w:r>
            <w:r w:rsidRPr="00272E83">
              <w:rPr>
                <w:rFonts w:ascii="宋体" w:eastAsia="宋体" w:hAnsi="宋体" w:cs="宋体" w:hint="eastAsia"/>
                <w:color w:val="000000"/>
                <w:kern w:val="0"/>
                <w:sz w:val="18"/>
                <w:szCs w:val="18"/>
              </w:rPr>
              <w:t>且不得大于</w:t>
            </w:r>
            <w:r w:rsidRPr="00272E83">
              <w:rPr>
                <w:rFonts w:ascii="Times New Roman" w:eastAsia="微软雅黑" w:hAnsi="Times New Roman" w:cs="Times New Roman"/>
                <w:color w:val="000000"/>
                <w:kern w:val="0"/>
                <w:sz w:val="18"/>
                <w:szCs w:val="18"/>
              </w:rPr>
              <w:t>2.0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建筑密度不得大于</w:t>
            </w:r>
            <w:r w:rsidRPr="00272E83">
              <w:rPr>
                <w:rFonts w:ascii="Times New Roman" w:eastAsia="微软雅黑" w:hAnsi="Times New Roman" w:cs="Times New Roman"/>
                <w:color w:val="000000"/>
                <w:kern w:val="0"/>
                <w:sz w:val="18"/>
                <w:szCs w:val="18"/>
              </w:rPr>
              <w:t>25%</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建筑屋脊高度不得超过</w:t>
            </w:r>
            <w:r w:rsidRPr="00272E83">
              <w:rPr>
                <w:rFonts w:ascii="Times New Roman" w:eastAsia="微软雅黑" w:hAnsi="Times New Roman" w:cs="Times New Roman"/>
                <w:color w:val="000000"/>
                <w:kern w:val="0"/>
                <w:sz w:val="18"/>
                <w:szCs w:val="18"/>
              </w:rPr>
              <w:t>41</w:t>
            </w:r>
            <w:r w:rsidRPr="00272E83">
              <w:rPr>
                <w:rFonts w:ascii="宋体" w:eastAsia="宋体" w:hAnsi="宋体" w:cs="宋体" w:hint="eastAsia"/>
                <w:color w:val="000000"/>
                <w:kern w:val="0"/>
                <w:sz w:val="18"/>
                <w:szCs w:val="18"/>
              </w:rPr>
              <w:t>米，临迎宾大道建筑屋脊高度不得超过</w:t>
            </w:r>
            <w:r w:rsidRPr="00272E83">
              <w:rPr>
                <w:rFonts w:ascii="Times New Roman" w:eastAsia="微软雅黑" w:hAnsi="Times New Roman" w:cs="Times New Roman"/>
                <w:color w:val="000000"/>
                <w:kern w:val="0"/>
                <w:sz w:val="18"/>
                <w:szCs w:val="18"/>
              </w:rPr>
              <w:t>32</w:t>
            </w:r>
            <w:r w:rsidRPr="00272E83">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二类居住用地（可兼容商业，兼容商业建筑面积不得大于该宗地计入容积率建筑面积的</w:t>
            </w:r>
            <w:r w:rsidRPr="00272E83">
              <w:rPr>
                <w:rFonts w:ascii="Times New Roman" w:eastAsia="微软雅黑" w:hAnsi="Times New Roman" w:cs="Times New Roman"/>
                <w:color w:val="000000"/>
                <w:kern w:val="0"/>
                <w:sz w:val="18"/>
                <w:szCs w:val="18"/>
              </w:rPr>
              <w:t>30%</w:t>
            </w:r>
            <w:r w:rsidRPr="00272E83">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Times New Roman" w:eastAsia="微软雅黑" w:hAnsi="Times New Roman" w:cs="Times New Roman"/>
                <w:color w:val="000000"/>
                <w:kern w:val="0"/>
                <w:sz w:val="18"/>
                <w:szCs w:val="18"/>
              </w:rPr>
              <w:t>25.8681</w:t>
            </w:r>
          </w:p>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指标价款</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272E83">
              <w:rPr>
                <w:rFonts w:ascii="宋体" w:eastAsia="宋体" w:hAnsi="宋体" w:cs="宋体" w:hint="eastAsia"/>
                <w:color w:val="000000"/>
                <w:kern w:val="0"/>
                <w:sz w:val="18"/>
                <w:szCs w:val="18"/>
              </w:rPr>
              <w:t>都江堰市规划和自然资源局</w:t>
            </w:r>
          </w:p>
        </w:tc>
      </w:tr>
    </w:tbl>
    <w:p w:rsidR="00272E83" w:rsidRPr="00272E83" w:rsidRDefault="00272E83" w:rsidP="00272E83">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272E83">
        <w:rPr>
          <w:rFonts w:ascii="Times New Roman" w:eastAsia="微软雅黑" w:hAnsi="Times New Roman" w:cs="Times New Roman"/>
          <w:color w:val="000000"/>
          <w:kern w:val="0"/>
          <w:sz w:val="18"/>
          <w:szCs w:val="18"/>
        </w:rPr>
        <w:t>           </w:t>
      </w:r>
      <w:r w:rsidRPr="00272E83">
        <w:rPr>
          <w:rFonts w:ascii="宋体" w:eastAsia="宋体" w:hAnsi="宋体" w:cs="Times New Roman" w:hint="eastAsia"/>
          <w:color w:val="000000"/>
          <w:kern w:val="0"/>
          <w:sz w:val="24"/>
          <w:szCs w:val="24"/>
        </w:rPr>
        <w:t>二、中华人民共和国境内外的法人、自然人和其他组织均可申请参加竞买，竞买申请人可独立竞买也可联合竞买，但出让方案或法律法规有特殊要求的除外。</w:t>
      </w:r>
    </w:p>
    <w:p w:rsidR="00272E83" w:rsidRPr="00272E83" w:rsidRDefault="00272E83" w:rsidP="00272E83">
      <w:pPr>
        <w:widowControl/>
        <w:spacing w:before="100" w:beforeAutospacing="1" w:after="100" w:afterAutospacing="1"/>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lastRenderedPageBreak/>
        <w:t>    三、申请参加本公告多宗土地竞买的，竞买保证金须按所竞买宗地对应金额足额缴纳。拍卖以增价方式自由竞价。</w:t>
      </w:r>
    </w:p>
    <w:p w:rsidR="00272E83" w:rsidRPr="00272E83" w:rsidRDefault="00272E83" w:rsidP="00272E83">
      <w:pPr>
        <w:widowControl/>
        <w:spacing w:before="100" w:beforeAutospacing="1" w:after="100" w:afterAutospacing="1"/>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    四、本次国有建设用地使用权拍卖出让实行网上报名（缴纳外币竞买保证金的除外），竞买申请人可通过成都市公共资源交易服务中心门户网站（http://www.cdggzy.com/）查阅网上报名用户注册及网上报名操作指南，并于2019年10月22日起下载出让文件。</w:t>
      </w:r>
    </w:p>
    <w:p w:rsidR="00272E83" w:rsidRPr="00272E83" w:rsidRDefault="00272E83" w:rsidP="00272E83">
      <w:pPr>
        <w:widowControl/>
        <w:spacing w:before="100" w:beforeAutospacing="1" w:after="100" w:afterAutospacing="1"/>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    五、已注册为网上报名用户的竞买申请人须在2019年11月06日16时之前足额交纳竞买保证金，2019年11月06日16时30分之前通过成都市公共资源交易服务中心门户网站（http://www.cdggzy.com/）土地交易网上报名系统完成网上报名手续。（报名咨询电话：028-85987887）</w:t>
      </w:r>
    </w:p>
    <w:p w:rsidR="00272E83" w:rsidRPr="00272E83" w:rsidRDefault="00272E83" w:rsidP="00272E83">
      <w:pPr>
        <w:widowControl/>
        <w:spacing w:before="100" w:beforeAutospacing="1" w:after="100" w:afterAutospacing="1"/>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    六、须“持证准用”的竞得人，应按照《国有经营性建设用地使用权出让“持证准用”须知》要求提交相应面积的建设用地指标证书或缴纳相应面积的建设用地指标价款。（指标购买咨询电话：028-85987005）</w:t>
      </w:r>
    </w:p>
    <w:p w:rsidR="00272E83" w:rsidRPr="00272E83" w:rsidRDefault="00272E83" w:rsidP="00272E83">
      <w:pPr>
        <w:widowControl/>
        <w:spacing w:before="100" w:beforeAutospacing="1" w:after="100" w:afterAutospacing="1"/>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    七、本公告未尽事宜详见出让文件，并以出让文件中各行政主管部门出具的文件为准。本公告发布后，可能出现延期、中止、终止等变更情况。为保障各竞买人顺利参加公共资源交易活动，合理进行竞买出行安排。敬请各竞买人在交易开始前随时关注查阅相关公告信息。</w:t>
      </w:r>
    </w:p>
    <w:p w:rsidR="00272E83" w:rsidRPr="00272E83" w:rsidRDefault="00272E83" w:rsidP="00272E83">
      <w:pPr>
        <w:widowControl/>
        <w:spacing w:before="100" w:beforeAutospacing="1" w:after="100" w:afterAutospacing="1"/>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 </w:t>
      </w:r>
    </w:p>
    <w:p w:rsidR="00272E83" w:rsidRPr="00272E83" w:rsidRDefault="00272E83" w:rsidP="00272E83">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联系地址：成都市高新区天府大道北段966号天府国际金融中心7号楼    </w:t>
      </w:r>
    </w:p>
    <w:p w:rsidR="00272E83" w:rsidRPr="00272E83" w:rsidRDefault="00272E83" w:rsidP="00272E83">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详情见：  成都市公共资源交易服务中心（</w:t>
      </w:r>
      <w:hyperlink r:id="rId4" w:history="1">
        <w:r w:rsidRPr="00272E83">
          <w:rPr>
            <w:rFonts w:ascii="宋体" w:eastAsia="宋体" w:hAnsi="宋体" w:cs="宋体" w:hint="eastAsia"/>
            <w:color w:val="000000"/>
            <w:kern w:val="0"/>
            <w:sz w:val="24"/>
            <w:szCs w:val="24"/>
            <w:u w:val="single"/>
          </w:rPr>
          <w:t>http://www.cdggzy.com/</w:t>
        </w:r>
      </w:hyperlink>
      <w:r w:rsidRPr="00272E83">
        <w:rPr>
          <w:rFonts w:ascii="宋体" w:eastAsia="宋体" w:hAnsi="宋体" w:cs="宋体" w:hint="eastAsia"/>
          <w:color w:val="000000"/>
          <w:kern w:val="0"/>
          <w:sz w:val="24"/>
          <w:szCs w:val="24"/>
        </w:rPr>
        <w:t>）          四川省自然资源厅（</w:t>
      </w:r>
      <w:hyperlink r:id="rId5" w:history="1">
        <w:r w:rsidRPr="00272E83">
          <w:rPr>
            <w:rFonts w:ascii="宋体" w:eastAsia="宋体" w:hAnsi="宋体" w:cs="宋体" w:hint="eastAsia"/>
            <w:color w:val="000000"/>
            <w:kern w:val="0"/>
            <w:sz w:val="24"/>
            <w:szCs w:val="24"/>
            <w:u w:val="single"/>
          </w:rPr>
          <w:t>http://www.scdlr.gov.cn</w:t>
        </w:r>
      </w:hyperlink>
      <w:r w:rsidRPr="00272E83">
        <w:rPr>
          <w:rFonts w:ascii="宋体" w:eastAsia="宋体" w:hAnsi="宋体" w:cs="宋体" w:hint="eastAsia"/>
          <w:color w:val="000000"/>
          <w:kern w:val="0"/>
          <w:sz w:val="24"/>
          <w:szCs w:val="24"/>
        </w:rPr>
        <w:t>）                </w:t>
      </w:r>
    </w:p>
    <w:p w:rsidR="00272E83" w:rsidRPr="00272E83" w:rsidRDefault="00272E83" w:rsidP="00272E83">
      <w:pPr>
        <w:widowControl/>
        <w:spacing w:before="100" w:beforeAutospacing="1" w:after="100" w:afterAutospacing="1" w:line="285" w:lineRule="atLeast"/>
        <w:ind w:firstLine="1680"/>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成都市规划和自然资源局（http://mpnr.chengdu.gov.cn）          中国土地市场网（http://</w:t>
      </w:r>
      <w:hyperlink r:id="rId6" w:history="1">
        <w:r w:rsidRPr="00272E83">
          <w:rPr>
            <w:rFonts w:ascii="宋体" w:eastAsia="宋体" w:hAnsi="宋体" w:cs="宋体" w:hint="eastAsia"/>
            <w:color w:val="000000"/>
            <w:kern w:val="0"/>
            <w:sz w:val="24"/>
            <w:szCs w:val="24"/>
            <w:u w:val="single"/>
          </w:rPr>
          <w:t>www.landchina.com</w:t>
        </w:r>
      </w:hyperlink>
      <w:r w:rsidRPr="00272E83">
        <w:rPr>
          <w:rFonts w:ascii="宋体" w:eastAsia="宋体" w:hAnsi="宋体" w:cs="宋体" w:hint="eastAsia"/>
          <w:color w:val="000000"/>
          <w:kern w:val="0"/>
          <w:sz w:val="24"/>
          <w:szCs w:val="24"/>
        </w:rPr>
        <w:t>）                 </w:t>
      </w:r>
    </w:p>
    <w:p w:rsidR="00272E83" w:rsidRPr="00272E83" w:rsidRDefault="00272E83" w:rsidP="00272E83">
      <w:pPr>
        <w:widowControl/>
        <w:spacing w:line="285" w:lineRule="atLeast"/>
        <w:ind w:left="1620"/>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 崇州市规划和自然资源局咨询电话：13688419981；大邑县规划和自然资源局咨询电话：028-88265083；都江堰市规划和自然资源局咨询电话：028-89741997</w:t>
      </w:r>
    </w:p>
    <w:p w:rsidR="00272E83" w:rsidRPr="00272E83" w:rsidRDefault="00272E83" w:rsidP="00272E83">
      <w:pPr>
        <w:widowControl/>
        <w:spacing w:before="100" w:beforeAutospacing="1" w:after="100" w:afterAutospacing="1" w:line="285" w:lineRule="atLeast"/>
        <w:ind w:firstLine="1680"/>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成都市规划和自然资源局(监督电话：028-85987211)</w:t>
      </w:r>
    </w:p>
    <w:p w:rsidR="00272E83" w:rsidRPr="00272E83" w:rsidRDefault="00272E83" w:rsidP="00272E83">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272E83">
        <w:rPr>
          <w:rFonts w:ascii="Calibri" w:eastAsia="微软雅黑" w:hAnsi="Calibri" w:cs="宋体"/>
          <w:color w:val="000000"/>
          <w:kern w:val="0"/>
          <w:sz w:val="24"/>
          <w:szCs w:val="24"/>
        </w:rPr>
        <w:t> </w:t>
      </w:r>
    </w:p>
    <w:p w:rsidR="00272E83" w:rsidRPr="00272E83" w:rsidRDefault="00272E83" w:rsidP="00272E83">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24"/>
          <w:szCs w:val="24"/>
        </w:rPr>
        <w:t> </w:t>
      </w:r>
    </w:p>
    <w:p w:rsidR="00272E83" w:rsidRPr="00272E83" w:rsidRDefault="00272E83" w:rsidP="00272E83">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272E83">
        <w:rPr>
          <w:rFonts w:ascii="Calibri" w:eastAsia="微软雅黑" w:hAnsi="Calibri" w:cs="宋体"/>
          <w:color w:val="000000"/>
          <w:kern w:val="0"/>
          <w:sz w:val="24"/>
          <w:szCs w:val="24"/>
        </w:rPr>
        <w:t>                                                                                </w:t>
      </w:r>
      <w:r w:rsidRPr="00272E83">
        <w:rPr>
          <w:rFonts w:ascii="宋体" w:eastAsia="宋体" w:hAnsi="宋体" w:cs="宋体" w:hint="eastAsia"/>
          <w:color w:val="000000"/>
          <w:kern w:val="0"/>
          <w:sz w:val="24"/>
          <w:szCs w:val="24"/>
        </w:rPr>
        <w:t>成都市公共资源交易服务中心</w:t>
      </w:r>
    </w:p>
    <w:p w:rsidR="00272E83" w:rsidRPr="00272E83" w:rsidRDefault="00272E83" w:rsidP="00272E83">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272E83">
        <w:rPr>
          <w:rFonts w:ascii="Calibri" w:eastAsia="微软雅黑" w:hAnsi="Calibri" w:cs="宋体"/>
          <w:color w:val="000000"/>
          <w:kern w:val="0"/>
          <w:sz w:val="24"/>
          <w:szCs w:val="24"/>
        </w:rPr>
        <w:lastRenderedPageBreak/>
        <w:t>                                                                                    2019</w:t>
      </w:r>
      <w:r w:rsidRPr="00272E83">
        <w:rPr>
          <w:rFonts w:ascii="宋体" w:eastAsia="宋体" w:hAnsi="宋体" w:cs="宋体" w:hint="eastAsia"/>
          <w:color w:val="000000"/>
          <w:kern w:val="0"/>
          <w:sz w:val="24"/>
          <w:szCs w:val="24"/>
        </w:rPr>
        <w:t>年</w:t>
      </w:r>
      <w:r w:rsidRPr="00272E83">
        <w:rPr>
          <w:rFonts w:ascii="Calibri" w:eastAsia="微软雅黑" w:hAnsi="Calibri" w:cs="宋体"/>
          <w:color w:val="000000"/>
          <w:kern w:val="0"/>
          <w:sz w:val="24"/>
          <w:szCs w:val="24"/>
        </w:rPr>
        <w:t>10</w:t>
      </w:r>
      <w:r w:rsidRPr="00272E83">
        <w:rPr>
          <w:rFonts w:ascii="宋体" w:eastAsia="宋体" w:hAnsi="宋体" w:cs="宋体" w:hint="eastAsia"/>
          <w:color w:val="000000"/>
          <w:kern w:val="0"/>
          <w:sz w:val="24"/>
          <w:szCs w:val="24"/>
        </w:rPr>
        <w:t>月</w:t>
      </w:r>
      <w:r w:rsidRPr="00272E83">
        <w:rPr>
          <w:rFonts w:ascii="Calibri" w:eastAsia="微软雅黑" w:hAnsi="Calibri" w:cs="宋体"/>
          <w:color w:val="000000"/>
          <w:kern w:val="0"/>
          <w:sz w:val="24"/>
          <w:szCs w:val="24"/>
        </w:rPr>
        <w:t>17</w:t>
      </w:r>
      <w:r w:rsidRPr="00272E83">
        <w:rPr>
          <w:rFonts w:ascii="宋体" w:eastAsia="宋体" w:hAnsi="宋体" w:cs="宋体" w:hint="eastAsia"/>
          <w:color w:val="000000"/>
          <w:kern w:val="0"/>
          <w:sz w:val="24"/>
          <w:szCs w:val="24"/>
        </w:rPr>
        <w:t>日</w:t>
      </w:r>
    </w:p>
    <w:p w:rsidR="00272E83" w:rsidRPr="00272E83" w:rsidRDefault="00272E83" w:rsidP="00272E83">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p>
    <w:p w:rsidR="00272E83" w:rsidRPr="00272E83" w:rsidRDefault="00272E83" w:rsidP="00272E83">
      <w:pPr>
        <w:widowControl/>
        <w:spacing w:before="100" w:beforeAutospacing="1" w:after="100" w:afterAutospacing="1"/>
        <w:jc w:val="center"/>
        <w:rPr>
          <w:rFonts w:ascii="微软雅黑" w:eastAsia="微软雅黑" w:hAnsi="微软雅黑" w:cs="宋体" w:hint="eastAsia"/>
          <w:color w:val="000000"/>
          <w:kern w:val="0"/>
          <w:sz w:val="27"/>
          <w:szCs w:val="27"/>
        </w:rPr>
      </w:pPr>
      <w:r w:rsidRPr="00272E83">
        <w:rPr>
          <w:rFonts w:ascii="微软雅黑" w:eastAsia="微软雅黑" w:hAnsi="微软雅黑" w:cs="宋体"/>
          <w:noProof/>
          <w:color w:val="000000"/>
          <w:kern w:val="0"/>
          <w:sz w:val="27"/>
          <w:szCs w:val="27"/>
        </w:rPr>
        <w:drawing>
          <wp:inline distT="0" distB="0" distL="0" distR="0">
            <wp:extent cx="5715000" cy="5715000"/>
            <wp:effectExtent l="0" t="0" r="0" b="0"/>
            <wp:docPr id="3" name="图片 3" descr="https://www.cdggzy.com/cdzczy/ueditor/netfile/upload/2019-10-17/77dda6d1-6771-4ed7-bc4a-f10becd0d2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ggzy.com/cdzczy/ueditor/netfile/upload/2019-10-17/77dda6d1-6771-4ed7-bc4a-f10becd0d2d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272E83" w:rsidRPr="00272E83" w:rsidRDefault="00272E83" w:rsidP="00272E83">
      <w:pPr>
        <w:widowControl/>
        <w:spacing w:before="100" w:beforeAutospacing="1" w:after="100" w:afterAutospacing="1"/>
        <w:jc w:val="center"/>
        <w:rPr>
          <w:rFonts w:ascii="微软雅黑" w:eastAsia="微软雅黑" w:hAnsi="微软雅黑" w:cs="宋体" w:hint="eastAsia"/>
          <w:color w:val="000000"/>
          <w:kern w:val="0"/>
          <w:sz w:val="27"/>
          <w:szCs w:val="27"/>
        </w:rPr>
      </w:pPr>
      <w:r w:rsidRPr="00272E83">
        <w:rPr>
          <w:rFonts w:ascii="微软雅黑" w:eastAsia="微软雅黑" w:hAnsi="微软雅黑" w:cs="宋体"/>
          <w:noProof/>
          <w:color w:val="000000"/>
          <w:kern w:val="0"/>
          <w:sz w:val="27"/>
          <w:szCs w:val="27"/>
        </w:rPr>
        <w:lastRenderedPageBreak/>
        <w:drawing>
          <wp:inline distT="0" distB="0" distL="0" distR="0">
            <wp:extent cx="5715000" cy="4686300"/>
            <wp:effectExtent l="0" t="0" r="0" b="0"/>
            <wp:docPr id="2" name="图片 2" descr="https://www.cdggzy.com/cdzczy/ueditor/netfile/upload/2019-10-17/615f9146-c534-4900-aa52-07bed0b6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dggzy.com/cdzczy/ueditor/netfile/upload/2019-10-17/615f9146-c534-4900-aa52-07bed0b602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686300"/>
                    </a:xfrm>
                    <a:prstGeom prst="rect">
                      <a:avLst/>
                    </a:prstGeom>
                    <a:noFill/>
                    <a:ln>
                      <a:noFill/>
                    </a:ln>
                  </pic:spPr>
                </pic:pic>
              </a:graphicData>
            </a:graphic>
          </wp:inline>
        </w:drawing>
      </w:r>
    </w:p>
    <w:p w:rsidR="00272E83" w:rsidRPr="00272E83" w:rsidRDefault="00272E83" w:rsidP="00272E83">
      <w:pPr>
        <w:widowControl/>
        <w:spacing w:before="100" w:beforeAutospacing="1" w:after="100" w:afterAutospacing="1"/>
        <w:jc w:val="center"/>
        <w:rPr>
          <w:rFonts w:ascii="微软雅黑" w:eastAsia="微软雅黑" w:hAnsi="微软雅黑" w:cs="宋体" w:hint="eastAsia"/>
          <w:color w:val="000000"/>
          <w:kern w:val="0"/>
          <w:sz w:val="27"/>
          <w:szCs w:val="27"/>
        </w:rPr>
      </w:pPr>
      <w:bookmarkStart w:id="0" w:name="_GoBack"/>
      <w:r w:rsidRPr="00272E83">
        <w:rPr>
          <w:rFonts w:ascii="微软雅黑" w:eastAsia="微软雅黑" w:hAnsi="微软雅黑" w:cs="宋体"/>
          <w:noProof/>
          <w:color w:val="000000"/>
          <w:kern w:val="0"/>
          <w:sz w:val="27"/>
          <w:szCs w:val="27"/>
        </w:rPr>
        <w:lastRenderedPageBreak/>
        <w:drawing>
          <wp:inline distT="0" distB="0" distL="0" distR="0">
            <wp:extent cx="5715000" cy="4924425"/>
            <wp:effectExtent l="0" t="0" r="0" b="9525"/>
            <wp:docPr id="1" name="图片 1" descr="https://www.cdggzy.com/cdzczy/ueditor/netfile/upload/2019-10-17/88c77d9c-215d-43a6-bd6a-0fd28a47ff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dggzy.com/cdzczy/ueditor/netfile/upload/2019-10-17/88c77d9c-215d-43a6-bd6a-0fd28a47ff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924425"/>
                    </a:xfrm>
                    <a:prstGeom prst="rect">
                      <a:avLst/>
                    </a:prstGeom>
                    <a:noFill/>
                    <a:ln>
                      <a:noFill/>
                    </a:ln>
                  </pic:spPr>
                </pic:pic>
              </a:graphicData>
            </a:graphic>
          </wp:inline>
        </w:drawing>
      </w:r>
      <w:bookmarkEnd w:id="0"/>
    </w:p>
    <w:p w:rsidR="00272E83" w:rsidRPr="00272E83" w:rsidRDefault="00272E83" w:rsidP="00272E83">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p>
    <w:p w:rsidR="00272E83" w:rsidRPr="00272E83" w:rsidRDefault="00272E83" w:rsidP="00272E83">
      <w:pPr>
        <w:widowControl/>
        <w:spacing w:before="100" w:beforeAutospacing="1" w:after="100" w:afterAutospacing="1" w:line="675" w:lineRule="atLeast"/>
        <w:jc w:val="center"/>
        <w:rPr>
          <w:rFonts w:ascii="微软雅黑" w:eastAsia="微软雅黑" w:hAnsi="微软雅黑" w:cs="宋体" w:hint="eastAsia"/>
          <w:color w:val="000000"/>
          <w:kern w:val="0"/>
          <w:sz w:val="27"/>
          <w:szCs w:val="27"/>
        </w:rPr>
      </w:pPr>
      <w:r w:rsidRPr="00272E83">
        <w:rPr>
          <w:rFonts w:ascii="宋体" w:eastAsia="宋体" w:hAnsi="宋体" w:cs="宋体" w:hint="eastAsia"/>
          <w:color w:val="000000"/>
          <w:kern w:val="0"/>
          <w:sz w:val="44"/>
          <w:szCs w:val="44"/>
        </w:rPr>
        <w:t> </w:t>
      </w:r>
    </w:p>
    <w:p w:rsidR="007E3454" w:rsidRDefault="00272E83"/>
    <w:sectPr w:rsidR="007E34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C8"/>
    <w:rsid w:val="00020EC8"/>
    <w:rsid w:val="001F7916"/>
    <w:rsid w:val="00272E83"/>
    <w:rsid w:val="00B4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A0FEC-947E-4452-9F78-E992A34E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E8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72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6507">
      <w:bodyDiv w:val="1"/>
      <w:marLeft w:val="0"/>
      <w:marRight w:val="0"/>
      <w:marTop w:val="0"/>
      <w:marBottom w:val="0"/>
      <w:divBdr>
        <w:top w:val="none" w:sz="0" w:space="0" w:color="auto"/>
        <w:left w:val="none" w:sz="0" w:space="0" w:color="auto"/>
        <w:bottom w:val="none" w:sz="0" w:space="0" w:color="auto"/>
        <w:right w:val="none" w:sz="0" w:space="0" w:color="auto"/>
      </w:divBdr>
      <w:divsChild>
        <w:div w:id="381095336">
          <w:marLeft w:val="0"/>
          <w:marRight w:val="0"/>
          <w:marTop w:val="300"/>
          <w:marBottom w:val="150"/>
          <w:divBdr>
            <w:top w:val="none" w:sz="0" w:space="0" w:color="auto"/>
            <w:left w:val="none" w:sz="0" w:space="0" w:color="auto"/>
            <w:bottom w:val="none" w:sz="0" w:space="0" w:color="auto"/>
            <w:right w:val="none" w:sz="0" w:space="0" w:color="auto"/>
          </w:divBdr>
        </w:div>
      </w:divsChild>
    </w:div>
    <w:div w:id="3816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china.com/" TargetMode="External"/><Relationship Id="rId11" Type="http://schemas.openxmlformats.org/officeDocument/2006/relationships/theme" Target="theme/theme1.xml"/><Relationship Id="rId5" Type="http://schemas.openxmlformats.org/officeDocument/2006/relationships/hyperlink" Target="http://www.scdlr.gov.cn/" TargetMode="External"/><Relationship Id="rId10" Type="http://schemas.openxmlformats.org/officeDocument/2006/relationships/fontTable" Target="fontTable.xml"/><Relationship Id="rId4" Type="http://schemas.openxmlformats.org/officeDocument/2006/relationships/hyperlink" Target="http://www.cdggzy.com/" TargetMode="Externa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Words>
  <Characters>1987</Characters>
  <Application>Microsoft Office Word</Application>
  <DocSecurity>0</DocSecurity>
  <Lines>16</Lines>
  <Paragraphs>4</Paragraphs>
  <ScaleCrop>false</ScaleCrop>
  <Company>Hewlett-Packard Company</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2019-10-21T06:50:00Z</dcterms:created>
  <dcterms:modified xsi:type="dcterms:W3CDTF">2019-10-21T06:50:00Z</dcterms:modified>
</cp:coreProperties>
</file>