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1E" w:rsidRPr="00A0041E" w:rsidRDefault="00A0041E" w:rsidP="00A0041E">
      <w:pPr>
        <w:widowControl/>
        <w:shd w:val="solid" w:color="FFFFFF" w:fill="auto"/>
        <w:spacing w:line="360" w:lineRule="auto"/>
        <w:jc w:val="center"/>
        <w:rPr>
          <w:rFonts w:ascii="宋体" w:eastAsia="宋体" w:hAnsi="宋体" w:cs="宋体"/>
          <w:color w:val="000000"/>
          <w:kern w:val="0"/>
          <w:sz w:val="36"/>
          <w:szCs w:val="20"/>
          <w:shd w:val="clear" w:color="auto" w:fill="FFFFFF"/>
        </w:rPr>
      </w:pPr>
      <w:r w:rsidRPr="00A0041E">
        <w:rPr>
          <w:rFonts w:ascii="宋体" w:eastAsia="宋体" w:hAnsi="宋体" w:cs="宋体" w:hint="eastAsia"/>
          <w:color w:val="000000"/>
          <w:kern w:val="0"/>
          <w:sz w:val="36"/>
          <w:szCs w:val="20"/>
          <w:shd w:val="clear" w:color="auto" w:fill="FFFFFF"/>
        </w:rPr>
        <w:t>增城区朱村街横塱村居住项目国有土地使用权网上挂牌出让公告</w:t>
      </w:r>
    </w:p>
    <w:p w:rsidR="00A0041E" w:rsidRPr="00A0041E" w:rsidRDefault="00A0041E" w:rsidP="00A0041E">
      <w:pPr>
        <w:widowControl/>
        <w:shd w:val="solid" w:color="FFFFFF" w:fill="auto"/>
        <w:spacing w:line="360" w:lineRule="auto"/>
        <w:jc w:val="center"/>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穗规划资源增挂出告（2019）36号</w:t>
      </w:r>
    </w:p>
    <w:p w:rsidR="00A0041E" w:rsidRPr="00A0041E" w:rsidRDefault="00A0041E" w:rsidP="00A0041E">
      <w:pPr>
        <w:widowControl/>
        <w:shd w:val="clear" w:color="auto" w:fill="FFFFFF"/>
        <w:spacing w:line="360" w:lineRule="auto"/>
        <w:jc w:val="left"/>
        <w:rPr>
          <w:rFonts w:ascii="宋体" w:eastAsia="宋体" w:hAnsi="宋体" w:cs="宋体" w:hint="eastAsia"/>
          <w:color w:val="3C3C3C"/>
          <w:kern w:val="0"/>
          <w:sz w:val="24"/>
          <w:szCs w:val="24"/>
        </w:rPr>
      </w:pP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经广州市增城区人民政府批准，广州市规划和自然资源局增城区分局以挂牌方式出让1宗地的国有土地使用权。现将有关事项公告如下：</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一、挂牌出让地块的基本情况和规划指标要求：</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1．地块编号：</w:t>
      </w:r>
      <w:r w:rsidRPr="00A0041E">
        <w:rPr>
          <w:rFonts w:ascii="宋体" w:eastAsia="宋体" w:hAnsi="宋体" w:cs="宋体" w:hint="eastAsia"/>
          <w:bCs/>
          <w:color w:val="3C3C3C"/>
          <w:kern w:val="0"/>
          <w:sz w:val="24"/>
          <w:szCs w:val="24"/>
        </w:rPr>
        <w:t>83003208A19017</w:t>
      </w:r>
      <w:r w:rsidRPr="00A0041E">
        <w:rPr>
          <w:rFonts w:ascii="宋体" w:eastAsia="宋体" w:hAnsi="宋体" w:cs="宋体" w:hint="eastAsia"/>
          <w:color w:val="3C3C3C"/>
          <w:kern w:val="0"/>
          <w:sz w:val="24"/>
          <w:szCs w:val="24"/>
        </w:rPr>
        <w:t>号</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2．宗地坐落：增城区</w:t>
      </w:r>
      <w:r w:rsidRPr="00A0041E">
        <w:rPr>
          <w:rFonts w:ascii="宋体" w:eastAsia="宋体" w:hAnsi="宋体" w:cs="宋体" w:hint="eastAsia"/>
          <w:bCs/>
          <w:color w:val="3C3C3C"/>
          <w:kern w:val="0"/>
          <w:sz w:val="24"/>
          <w:szCs w:val="24"/>
        </w:rPr>
        <w:t>朱村街横塱村</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3．土地用途：二类居住用地（R2）</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4．宗地面积：</w:t>
      </w:r>
      <w:r w:rsidRPr="00A0041E">
        <w:rPr>
          <w:rFonts w:ascii="宋体" w:eastAsia="宋体" w:hAnsi="宋体" w:cs="宋体" w:hint="eastAsia"/>
          <w:bCs/>
          <w:color w:val="3C3C3C"/>
          <w:kern w:val="0"/>
          <w:sz w:val="24"/>
          <w:szCs w:val="24"/>
        </w:rPr>
        <w:t>66009.08</w:t>
      </w:r>
      <w:r w:rsidRPr="00A0041E">
        <w:rPr>
          <w:rFonts w:ascii="宋体" w:eastAsia="宋体" w:hAnsi="宋体" w:cs="宋体" w:hint="eastAsia"/>
          <w:color w:val="3C3C3C"/>
          <w:kern w:val="0"/>
          <w:sz w:val="24"/>
          <w:szCs w:val="24"/>
        </w:rPr>
        <w:t>平方米（规划建设用地面积66009.08平方米）</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5．容积率≤3.0</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6．建筑面积：≤</w:t>
      </w:r>
      <w:r w:rsidRPr="00A0041E">
        <w:rPr>
          <w:rFonts w:ascii="宋体" w:eastAsia="宋体" w:hAnsi="宋体" w:cs="宋体" w:hint="eastAsia"/>
          <w:bCs/>
          <w:color w:val="3C3C3C"/>
          <w:kern w:val="0"/>
          <w:sz w:val="24"/>
          <w:szCs w:val="24"/>
        </w:rPr>
        <w:t>198027.24</w:t>
      </w:r>
      <w:r w:rsidRPr="00A0041E">
        <w:rPr>
          <w:rFonts w:ascii="宋体" w:eastAsia="宋体" w:hAnsi="宋体" w:cs="宋体" w:hint="eastAsia"/>
          <w:color w:val="3C3C3C"/>
          <w:kern w:val="0"/>
          <w:sz w:val="24"/>
          <w:szCs w:val="24"/>
        </w:rPr>
        <w:t>平方米</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7．挂牌起始价：</w:t>
      </w:r>
      <w:r w:rsidRPr="00A0041E">
        <w:rPr>
          <w:rFonts w:ascii="宋体" w:eastAsia="宋体" w:hAnsi="宋体" w:cs="宋体" w:hint="eastAsia"/>
          <w:bCs/>
          <w:color w:val="3C3C3C"/>
          <w:kern w:val="0"/>
          <w:sz w:val="24"/>
          <w:szCs w:val="24"/>
        </w:rPr>
        <w:t>214000</w:t>
      </w:r>
      <w:r w:rsidRPr="00A0041E">
        <w:rPr>
          <w:rFonts w:ascii="宋体" w:eastAsia="宋体" w:hAnsi="宋体" w:cs="宋体" w:hint="eastAsia"/>
          <w:color w:val="3C3C3C"/>
          <w:kern w:val="0"/>
          <w:sz w:val="24"/>
          <w:szCs w:val="24"/>
        </w:rPr>
        <w:t>万元</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8．增价幅度：1000万元</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9．竞买保证金：人民币</w:t>
      </w:r>
      <w:r w:rsidRPr="00A0041E">
        <w:rPr>
          <w:rFonts w:ascii="宋体" w:eastAsia="宋体" w:hAnsi="宋体" w:cs="宋体" w:hint="eastAsia"/>
          <w:bCs/>
          <w:color w:val="3C3C3C"/>
          <w:kern w:val="0"/>
          <w:sz w:val="24"/>
          <w:szCs w:val="24"/>
        </w:rPr>
        <w:t>42800</w:t>
      </w:r>
      <w:r w:rsidRPr="00A0041E">
        <w:rPr>
          <w:rFonts w:ascii="宋体" w:eastAsia="宋体" w:hAnsi="宋体" w:cs="宋体" w:hint="eastAsia"/>
          <w:color w:val="3C3C3C"/>
          <w:kern w:val="0"/>
          <w:sz w:val="24"/>
          <w:szCs w:val="24"/>
        </w:rPr>
        <w:t>万元或港币47467万元或美元6052万元</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地块出让条件如下：</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（一）</w:t>
      </w:r>
      <w:r w:rsidRPr="00A0041E">
        <w:rPr>
          <w:rFonts w:ascii="宋体" w:eastAsia="宋体" w:hAnsi="宋体" w:cs="宋体" w:hint="eastAsia"/>
          <w:bCs/>
          <w:color w:val="3C3C3C"/>
          <w:kern w:val="0"/>
          <w:sz w:val="24"/>
          <w:szCs w:val="24"/>
        </w:rPr>
        <w:t>中华人民共和国境内外的自然人、法人和其他组织均可单独申请参加竞买，也可以联合申请。境外的自然人、法人和其他组织参与的，应当符合房地产市场外资准入和外汇管理的规定。</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（二）凡在增城区行政区域内存在下列违法违规违约行为的竞买人及其控股股东，在结案和问题查处整改到位前，不得参加本次竞买活动：</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1.有拖欠地价款的；</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2.存在非法转让土地使用权等违法行为的；</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3.因企业原因造成土地闲置一年以上的；</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4.开发建设企业违背出让合同约定条件开发利用土地的。</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（三）竞买人在广州市范围内竞买商品住宅用地从事房地产开发必须使用自有资金，具体要求按照《广州市住房和城乡建设委员会 广州市国土资源和规划</w:t>
      </w:r>
      <w:r w:rsidRPr="00A0041E">
        <w:rPr>
          <w:rFonts w:ascii="宋体" w:eastAsia="宋体" w:hAnsi="宋体" w:cs="宋体" w:hint="eastAsia"/>
          <w:color w:val="3C3C3C"/>
          <w:kern w:val="0"/>
          <w:sz w:val="24"/>
          <w:szCs w:val="24"/>
        </w:rPr>
        <w:lastRenderedPageBreak/>
        <w:t>委员会 广州市金融工作局关于对竞买商品住宅用地资金来源核查的通知》（穗建房产〔2016〕2144号）执行。</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（四）竞买人须提交商业金融机构的资信证明。</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（五）</w:t>
      </w:r>
      <w:r w:rsidRPr="00A0041E">
        <w:rPr>
          <w:rFonts w:ascii="宋体" w:eastAsia="宋体" w:hAnsi="宋体" w:cs="宋体" w:hint="eastAsia"/>
          <w:bCs/>
          <w:color w:val="3C3C3C"/>
          <w:kern w:val="0"/>
          <w:sz w:val="24"/>
          <w:szCs w:val="24"/>
        </w:rPr>
        <w:t>本次挂牌成交价包括86000平方米地下车库及设备用房的土地出让金，若地下车库及设备用房的实测面积超过86000平方米，超出部分则按相关规定补缴出让金。</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（六）</w:t>
      </w:r>
      <w:r w:rsidRPr="00A0041E">
        <w:rPr>
          <w:rFonts w:ascii="宋体" w:eastAsia="宋体" w:hAnsi="宋体" w:cs="宋体" w:hint="eastAsia"/>
          <w:bCs/>
          <w:color w:val="3C3C3C"/>
          <w:kern w:val="0"/>
          <w:sz w:val="24"/>
          <w:szCs w:val="24"/>
        </w:rPr>
        <w:t>地块成交后，竞得人为增城区行政区域范围外的，须在签订《成交确认书》后2个月内在增城区行政区域内注册成立股东与竞得人一致的独立项目法人；竞得人为增城区行政区域范围内的，可参照前述规定由竞得人在增城区行政区域内另外注册成立股东与竞得人一致的独立项目法人。地块须登记在上述新成立的独立项目法人名下进行项目开发。</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（七）</w:t>
      </w:r>
      <w:r w:rsidRPr="00A0041E">
        <w:rPr>
          <w:rFonts w:ascii="宋体" w:eastAsia="宋体" w:hAnsi="宋体" w:cs="宋体" w:hint="eastAsia"/>
          <w:bCs/>
          <w:color w:val="3C3C3C"/>
          <w:kern w:val="0"/>
          <w:sz w:val="24"/>
          <w:szCs w:val="24"/>
        </w:rPr>
        <w:t>竞得人须采用装配式建筑的建造方式，装配式建筑面积比例不低于30%，且须符合国家或省现行的装配式建筑评价标准要求。</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（八）</w:t>
      </w:r>
      <w:r w:rsidRPr="00A0041E">
        <w:rPr>
          <w:rFonts w:ascii="宋体" w:eastAsia="宋体" w:hAnsi="宋体" w:cs="宋体" w:hint="eastAsia"/>
          <w:bCs/>
          <w:color w:val="3C3C3C"/>
          <w:kern w:val="0"/>
          <w:sz w:val="24"/>
          <w:szCs w:val="24"/>
        </w:rPr>
        <w:t>竞得人须在交地之日起12个月内完成项目所有立项、环评、规划等报批手续并开始动工开发，项目须在交地之日起36个月内竣工。其中在交地之日起10个月内完成规划、施工报建手续，取得《建设用地规划许可证》、《建设工程规划许可证》和《施工许可证》，12个月内动工开发。</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bCs/>
          <w:color w:val="3C3C3C"/>
          <w:kern w:val="0"/>
          <w:sz w:val="24"/>
          <w:szCs w:val="24"/>
        </w:rPr>
      </w:pPr>
      <w:r w:rsidRPr="00A0041E">
        <w:rPr>
          <w:rFonts w:ascii="宋体" w:eastAsia="宋体" w:hAnsi="宋体" w:cs="宋体" w:hint="eastAsia"/>
          <w:color w:val="3C3C3C"/>
          <w:kern w:val="0"/>
          <w:sz w:val="24"/>
          <w:szCs w:val="24"/>
        </w:rPr>
        <w:t>（九）付款方式：</w:t>
      </w:r>
      <w:r w:rsidRPr="00A0041E">
        <w:rPr>
          <w:rFonts w:ascii="宋体" w:eastAsia="宋体" w:hAnsi="宋体" w:cs="宋体" w:hint="eastAsia"/>
          <w:bCs/>
          <w:color w:val="3C3C3C"/>
          <w:kern w:val="0"/>
          <w:sz w:val="24"/>
          <w:szCs w:val="24"/>
        </w:rPr>
        <w:t>成交价即为该土地的国有建设用地使用权出让总价款，竞得人须在签订《国有建设用地使用权出让合同》后分两期支付：第一期：成交价的50%（其中包括竞买保证金或定金42800万元转作土地出让价款），在签订《国有建设用地使用权出让合同》后30日内支付；第二期：剩余土地出让价款，在签订《国有建设用地使用权出让合同》后1年内付清。</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（十）土地使用年限：居住份额70年，商业份额40年，其他份额50年，自签订《国有建设用地使用权出让合同》之日起算。</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具体情况及要求可参阅：《成交确认书》（样本）、《广州市国有建设用地使用权出让合同》（样本）、《竞买须知》及相关规划文件，规划指标要求按国家有关规定和规划部门最新批复执行。</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二、成交原则</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000000"/>
          <w:kern w:val="0"/>
          <w:sz w:val="24"/>
          <w:szCs w:val="24"/>
        </w:rPr>
        <w:lastRenderedPageBreak/>
        <w:t>本次国有土地使用权挂牌出让</w:t>
      </w:r>
      <w:r w:rsidRPr="00A0041E">
        <w:rPr>
          <w:rFonts w:ascii="宋体" w:eastAsia="宋体" w:hAnsi="宋体" w:cs="宋体" w:hint="eastAsia"/>
          <w:bCs/>
          <w:color w:val="3C3C3C"/>
          <w:kern w:val="0"/>
          <w:sz w:val="24"/>
          <w:szCs w:val="24"/>
        </w:rPr>
        <w:t>设定最高限制地价为310300万元，竞买人的最高报价不超过最高限制地价的，按照价高者得原则确定竞得人；当报价达到最高限制地价后，竞买方式转为竞企业自持商品住房建筑面积的形式确定竞得人，竞价阶梯为该宗地内居住建筑面积的5%,竞买人报出自持商品住房建筑面积比例最高的为竞得人;</w:t>
      </w:r>
      <w:r w:rsidRPr="00A0041E">
        <w:rPr>
          <w:rFonts w:ascii="宋体" w:eastAsia="宋体" w:hAnsi="宋体" w:cs="宋体" w:hint="eastAsia"/>
          <w:color w:val="3C3C3C"/>
          <w:kern w:val="0"/>
          <w:sz w:val="24"/>
          <w:szCs w:val="24"/>
        </w:rPr>
        <w:t xml:space="preserve"> 当</w:t>
      </w:r>
      <w:r w:rsidRPr="00A0041E">
        <w:rPr>
          <w:rFonts w:ascii="宋体" w:eastAsia="宋体" w:hAnsi="宋体" w:cs="宋体" w:hint="eastAsia"/>
          <w:bCs/>
          <w:color w:val="3C3C3C"/>
          <w:kern w:val="0"/>
          <w:sz w:val="24"/>
          <w:szCs w:val="24"/>
        </w:rPr>
        <w:t>有两个或两个以上竞买人报出企业自持商品住房建筑面积为100%后，停止网上竞价，改为摇号确定竞得人，所有接受100%自持商品住房建筑面积的竞买人参加摇号，摇号时间为限时竞价后3个工作日内。企业自持部分作为租赁住房，须整体确权（只办理一个不动产权证），不得销售，持有年限与土地出让年限一致。</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三、时间安排</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（一）公告时间：2019年10月10日至2019年10月29日</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（二）网上申请时间：2019年10月10日至2019年10月29日17时</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（三）缴交保证金时间：2019年10月10日至2019年10月29日17时</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（四）网上挂牌时间（网上报价时间）：2019年10月30日至2019年11月11日10时</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（五）限时竞价时间：2019年11月11日10时起</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四、其他需要公告的事项</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（一）本次挂牌出让通过广州土地矿业权网上交易系统（https://tkjy.gzggzy.cn/SignOnServlet）进行。竞买申请人必须先行办理CA数字证书，才能登录系统参加网上交易活动。</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（二）</w:t>
      </w:r>
      <w:hyperlink r:id="rId6" w:history="1">
        <w:r w:rsidRPr="00A0041E">
          <w:rPr>
            <w:rFonts w:ascii="宋体" w:eastAsia="宋体" w:hAnsi="宋体" w:cs="宋体" w:hint="eastAsia"/>
            <w:color w:val="0000FF"/>
            <w:kern w:val="0"/>
            <w:sz w:val="24"/>
            <w:szCs w:val="24"/>
          </w:rPr>
          <w:t>《广州市国有建设用地使用权网上交易竞买须知》</w:t>
        </w:r>
      </w:hyperlink>
      <w:r w:rsidRPr="00A0041E">
        <w:rPr>
          <w:rFonts w:ascii="宋体" w:eastAsia="宋体" w:hAnsi="宋体" w:cs="宋体" w:hint="eastAsia"/>
          <w:color w:val="3C3C3C"/>
          <w:kern w:val="0"/>
          <w:sz w:val="24"/>
          <w:szCs w:val="24"/>
        </w:rPr>
        <w:t>、</w:t>
      </w:r>
      <w:hyperlink r:id="rId7" w:history="1">
        <w:r w:rsidRPr="00A0041E">
          <w:rPr>
            <w:rFonts w:ascii="宋体" w:eastAsia="宋体" w:hAnsi="宋体" w:cs="宋体" w:hint="eastAsia"/>
            <w:color w:val="0000FF"/>
            <w:kern w:val="0"/>
            <w:sz w:val="24"/>
            <w:szCs w:val="24"/>
          </w:rPr>
          <w:t>《CA数字证书与电子签章办理指引》、</w:t>
        </w:r>
      </w:hyperlink>
      <w:hyperlink r:id="rId8" w:history="1">
        <w:r w:rsidRPr="00A0041E">
          <w:rPr>
            <w:rFonts w:ascii="宋体" w:eastAsia="宋体" w:hAnsi="宋体" w:cs="宋体" w:hint="eastAsia"/>
            <w:color w:val="0000FF"/>
            <w:kern w:val="0"/>
            <w:sz w:val="24"/>
            <w:szCs w:val="24"/>
          </w:rPr>
          <w:t>《广州土地矿业权网上交易系统竞买人操作手册》</w:t>
        </w:r>
      </w:hyperlink>
      <w:r w:rsidRPr="00A0041E">
        <w:rPr>
          <w:rFonts w:ascii="宋体" w:eastAsia="宋体" w:hAnsi="宋体" w:cs="宋体" w:hint="eastAsia"/>
          <w:color w:val="3C3C3C"/>
          <w:kern w:val="0"/>
          <w:sz w:val="24"/>
          <w:szCs w:val="24"/>
        </w:rPr>
        <w:t>等相关资料竞买人可以从广州公共资源交易网（http://www.gzggzy.cn/）服务指南栏目的办事指引中下载并认真阅读。</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三）竞买申请人应详尽了解本次出让宗地现状及所列条件，提交竞买申请视同对本次出让宗地的现状及所列条件无异议并全面接受，包括同意接受《竞买须知》的约束，违反有关条款的，将承担相应的法律责任。</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（四）本次挂牌出让不接受邮寄、电话、传真、电子邮件及口头竞买申请。</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lastRenderedPageBreak/>
        <w:t>（五）本次土地使用权网上交易在网上交易系统全封闭进行，实行资格审核后置；申请人网上申请时应按照系统提示上传申请材料。申请人必须保证网上上传及填写资料的真实性。</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六）竞买人按照公告要求按时足额缴纳竞买保证金后，方可取得竞买人资格。竞买保证金须由竞买申请人支付，竞买保证金以人民币或港币或美元支付。竞买保证金交纳时间以实际到达系统提示的银行账号为准。（开户单位：广州公共资源交易中心，开户行详见网上交易系统提示的银行账号）。</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（七）网上报价不可撤回。报价和竞价环节也可通过微信绑定广州土地矿业权网上交易系统后进行，具体详见《土地竞价移动端操作手册》。</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（八）网上交易结束后，竞得人于2个工作日内持竞买申请时所提交的纸质文档及相关原件到广州公共资源交易中心进行资格确认，资格审核结果将在2019年11月20日17时前确认其竞得资格。</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（九）竞得人应在接到竞得资格确认通知之日起2个工作日内到广州公共资源交易中心签订《成交确认书》，并在签订《成交确认书》后10个工作日内与我局签订《国有建设用地使用权出让合同》。</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（十）有关出让宗地的详细资料及挂牌文件可于本公告发布之日起在广州公共资源交易网（http://www.gzggzy.cn/）土地矿产专栏及增城区政府门户网站浏览。</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五、联系方式</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（一）出让方</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名称：广州市规划和自然资源局增城区分局</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地址：增城区荔城街光明西路108号</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联系人：郭先生，吴小姐，朱先生，联系电话：(020) 82628400，82629019,82629911</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（二）交易机构</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名称：广州公共资源交易中心</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地址：广州市天河区天润路333号，邮编：510630</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对外办公时间：工作日8:30～12:00，14:00～17:30</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服务热线：</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lastRenderedPageBreak/>
        <w:t xml:space="preserve">1.业务咨询：（020）28866000 </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2.CA数字证书及电子签章：（020）28866000</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3.项目联系人：杨小姐、车先生，联系电话：（020）28866047、28866180</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4.网上交易系统技术支持电话：（020）28866000</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 xml:space="preserve"> </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 xml:space="preserve">                                                                     广州市规划和自然资源局增城区分局 </w:t>
      </w:r>
    </w:p>
    <w:p w:rsidR="00A0041E" w:rsidRPr="00A0041E" w:rsidRDefault="00A0041E" w:rsidP="00A0041E">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0041E">
        <w:rPr>
          <w:rFonts w:ascii="宋体" w:eastAsia="宋体" w:hAnsi="宋体" w:cs="宋体" w:hint="eastAsia"/>
          <w:color w:val="3C3C3C"/>
          <w:kern w:val="0"/>
          <w:sz w:val="24"/>
          <w:szCs w:val="24"/>
        </w:rPr>
        <w:t xml:space="preserve">                                                                              2019年10月10日</w:t>
      </w:r>
    </w:p>
    <w:p w:rsidR="00A0041E" w:rsidRPr="00A0041E" w:rsidRDefault="00A0041E" w:rsidP="00A0041E">
      <w:pPr>
        <w:widowControl/>
        <w:shd w:val="clear" w:color="auto" w:fill="FFFFFF"/>
        <w:jc w:val="left"/>
        <w:rPr>
          <w:rFonts w:ascii="ˎ̥" w:eastAsia="宋体" w:hAnsi="ˎ̥" w:cs="宋体" w:hint="eastAsia"/>
          <w:color w:val="3C3C3C"/>
          <w:kern w:val="0"/>
          <w:sz w:val="18"/>
          <w:szCs w:val="18"/>
        </w:rPr>
      </w:pPr>
      <w:r w:rsidRPr="00A0041E">
        <w:rPr>
          <w:rFonts w:ascii="ˎ̥" w:eastAsia="宋体" w:hAnsi="ˎ̥" w:cs="宋体"/>
          <w:color w:val="3C3C3C"/>
          <w:kern w:val="0"/>
          <w:sz w:val="18"/>
          <w:szCs w:val="18"/>
        </w:rPr>
        <w:br/>
      </w:r>
      <w:r w:rsidRPr="00A0041E">
        <w:rPr>
          <w:rFonts w:ascii="ˎ̥" w:eastAsia="宋体" w:hAnsi="ˎ̥" w:cs="宋体"/>
          <w:color w:val="3C3C3C"/>
          <w:kern w:val="0"/>
          <w:sz w:val="18"/>
          <w:szCs w:val="18"/>
        </w:rPr>
        <w:br/>
      </w:r>
      <w:r w:rsidRPr="00A0041E">
        <w:rPr>
          <w:rFonts w:ascii="ˎ̥" w:eastAsia="宋体" w:hAnsi="ˎ̥" w:cs="宋体"/>
          <w:color w:val="3C3C3C"/>
          <w:kern w:val="0"/>
          <w:sz w:val="18"/>
          <w:szCs w:val="18"/>
        </w:rPr>
        <w:br/>
      </w:r>
      <w:r w:rsidRPr="00A0041E">
        <w:rPr>
          <w:rFonts w:ascii="ˎ̥" w:eastAsia="宋体" w:hAnsi="ˎ̥" w:cs="宋体"/>
          <w:color w:val="3C3C3C"/>
          <w:kern w:val="0"/>
          <w:sz w:val="18"/>
          <w:szCs w:val="18"/>
        </w:rPr>
        <w:br/>
      </w:r>
      <w:r w:rsidRPr="00A0041E">
        <w:rPr>
          <w:rFonts w:ascii="ˎ̥" w:eastAsia="宋体" w:hAnsi="ˎ̥" w:cs="宋体"/>
          <w:color w:val="3C3C3C"/>
          <w:kern w:val="0"/>
          <w:sz w:val="27"/>
          <w:szCs w:val="27"/>
        </w:rPr>
        <w:t>附件</w:t>
      </w:r>
      <w:r w:rsidRPr="00A0041E">
        <w:rPr>
          <w:rFonts w:ascii="ˎ̥" w:eastAsia="宋体" w:hAnsi="ˎ̥" w:cs="宋体"/>
          <w:color w:val="3C3C3C"/>
          <w:kern w:val="0"/>
          <w:sz w:val="27"/>
          <w:szCs w:val="27"/>
        </w:rPr>
        <w:t>:</w:t>
      </w:r>
      <w:r w:rsidRPr="00A0041E">
        <w:rPr>
          <w:rFonts w:ascii="ˎ̥" w:eastAsia="宋体" w:hAnsi="ˎ̥" w:cs="宋体"/>
          <w:color w:val="3C3C3C"/>
          <w:kern w:val="0"/>
          <w:sz w:val="18"/>
          <w:szCs w:val="18"/>
        </w:rPr>
        <w:br/>
      </w:r>
      <w:r w:rsidRPr="00A0041E">
        <w:rPr>
          <w:rFonts w:ascii="ˎ̥" w:eastAsia="宋体" w:hAnsi="ˎ̥" w:cs="宋体"/>
          <w:color w:val="3C3C3C"/>
          <w:kern w:val="0"/>
          <w:sz w:val="27"/>
          <w:szCs w:val="27"/>
        </w:rPr>
        <w:t>1</w:t>
      </w:r>
      <w:r w:rsidRPr="00A0041E">
        <w:rPr>
          <w:rFonts w:ascii="ˎ̥" w:eastAsia="宋体" w:hAnsi="ˎ̥" w:cs="宋体"/>
          <w:color w:val="3C3C3C"/>
          <w:kern w:val="0"/>
          <w:sz w:val="27"/>
          <w:szCs w:val="27"/>
        </w:rPr>
        <w:t>、</w:t>
      </w:r>
      <w:hyperlink r:id="rId9" w:history="1">
        <w:r w:rsidRPr="00A0041E">
          <w:rPr>
            <w:rFonts w:ascii="ˎ̥" w:eastAsia="宋体" w:hAnsi="ˎ̥" w:cs="宋体"/>
            <w:color w:val="000000"/>
            <w:kern w:val="0"/>
            <w:sz w:val="27"/>
          </w:rPr>
          <w:t>增城区朱村街横塱村</w:t>
        </w:r>
        <w:r w:rsidRPr="00A0041E">
          <w:rPr>
            <w:rFonts w:ascii="ˎ̥" w:eastAsia="宋体" w:hAnsi="ˎ̥" w:cs="宋体"/>
            <w:color w:val="000000"/>
            <w:kern w:val="0"/>
            <w:sz w:val="27"/>
          </w:rPr>
          <w:t>83003208A19017</w:t>
        </w:r>
        <w:r w:rsidRPr="00A0041E">
          <w:rPr>
            <w:rFonts w:ascii="ˎ̥" w:eastAsia="宋体" w:hAnsi="ˎ̥" w:cs="宋体"/>
            <w:color w:val="000000"/>
            <w:kern w:val="0"/>
            <w:sz w:val="27"/>
          </w:rPr>
          <w:t>号地块出让合同模板</w:t>
        </w:r>
        <w:r w:rsidRPr="00A0041E">
          <w:rPr>
            <w:rFonts w:ascii="ˎ̥" w:eastAsia="宋体" w:hAnsi="ˎ̥" w:cs="宋体"/>
            <w:color w:val="000000"/>
            <w:kern w:val="0"/>
            <w:sz w:val="27"/>
          </w:rPr>
          <w:t>.doc</w:t>
        </w:r>
      </w:hyperlink>
      <w:r w:rsidRPr="00A0041E">
        <w:rPr>
          <w:rFonts w:ascii="ˎ̥" w:eastAsia="宋体" w:hAnsi="ˎ̥" w:cs="宋体"/>
          <w:color w:val="3C3C3C"/>
          <w:kern w:val="0"/>
          <w:sz w:val="18"/>
          <w:szCs w:val="18"/>
        </w:rPr>
        <w:br/>
      </w:r>
      <w:r w:rsidRPr="00A0041E">
        <w:rPr>
          <w:rFonts w:ascii="ˎ̥" w:eastAsia="宋体" w:hAnsi="ˎ̥" w:cs="宋体"/>
          <w:color w:val="3C3C3C"/>
          <w:kern w:val="0"/>
          <w:sz w:val="18"/>
          <w:szCs w:val="18"/>
        </w:rPr>
        <w:br/>
      </w:r>
      <w:r w:rsidRPr="00A0041E">
        <w:rPr>
          <w:rFonts w:ascii="ˎ̥" w:eastAsia="宋体" w:hAnsi="ˎ̥" w:cs="宋体"/>
          <w:color w:val="3C3C3C"/>
          <w:kern w:val="0"/>
          <w:sz w:val="27"/>
          <w:szCs w:val="27"/>
        </w:rPr>
        <w:t>2</w:t>
      </w:r>
      <w:r w:rsidRPr="00A0041E">
        <w:rPr>
          <w:rFonts w:ascii="ˎ̥" w:eastAsia="宋体" w:hAnsi="ˎ̥" w:cs="宋体"/>
          <w:color w:val="3C3C3C"/>
          <w:kern w:val="0"/>
          <w:sz w:val="27"/>
          <w:szCs w:val="27"/>
        </w:rPr>
        <w:t>、</w:t>
      </w:r>
      <w:hyperlink r:id="rId10" w:history="1">
        <w:r w:rsidRPr="00A0041E">
          <w:rPr>
            <w:rFonts w:ascii="ˎ̥" w:eastAsia="宋体" w:hAnsi="ˎ̥" w:cs="宋体"/>
            <w:color w:val="000000"/>
            <w:kern w:val="0"/>
            <w:sz w:val="27"/>
          </w:rPr>
          <w:t>增城区朱村街横塱村</w:t>
        </w:r>
        <w:r w:rsidRPr="00A0041E">
          <w:rPr>
            <w:rFonts w:ascii="ˎ̥" w:eastAsia="宋体" w:hAnsi="ˎ̥" w:cs="宋体"/>
            <w:color w:val="000000"/>
            <w:kern w:val="0"/>
            <w:sz w:val="27"/>
          </w:rPr>
          <w:t>83003208A19017</w:t>
        </w:r>
        <w:r w:rsidRPr="00A0041E">
          <w:rPr>
            <w:rFonts w:ascii="ˎ̥" w:eastAsia="宋体" w:hAnsi="ˎ̥" w:cs="宋体"/>
            <w:color w:val="000000"/>
            <w:kern w:val="0"/>
            <w:sz w:val="27"/>
          </w:rPr>
          <w:t>号地块用地规划条件</w:t>
        </w:r>
        <w:r w:rsidRPr="00A0041E">
          <w:rPr>
            <w:rFonts w:ascii="ˎ̥" w:eastAsia="宋体" w:hAnsi="ˎ̥" w:cs="宋体"/>
            <w:color w:val="000000"/>
            <w:kern w:val="0"/>
            <w:sz w:val="27"/>
          </w:rPr>
          <w:t>.pdf</w:t>
        </w:r>
      </w:hyperlink>
      <w:r w:rsidRPr="00A0041E">
        <w:rPr>
          <w:rFonts w:ascii="ˎ̥" w:eastAsia="宋体" w:hAnsi="ˎ̥" w:cs="宋体"/>
          <w:color w:val="3C3C3C"/>
          <w:kern w:val="0"/>
          <w:sz w:val="18"/>
          <w:szCs w:val="18"/>
        </w:rPr>
        <w:br/>
      </w:r>
      <w:r w:rsidRPr="00A0041E">
        <w:rPr>
          <w:rFonts w:ascii="ˎ̥" w:eastAsia="宋体" w:hAnsi="ˎ̥" w:cs="宋体"/>
          <w:color w:val="3C3C3C"/>
          <w:kern w:val="0"/>
          <w:sz w:val="18"/>
          <w:szCs w:val="18"/>
        </w:rPr>
        <w:br/>
      </w:r>
      <w:r w:rsidRPr="00A0041E">
        <w:rPr>
          <w:rFonts w:ascii="ˎ̥" w:eastAsia="宋体" w:hAnsi="ˎ̥" w:cs="宋体"/>
          <w:color w:val="3C3C3C"/>
          <w:kern w:val="0"/>
          <w:sz w:val="27"/>
          <w:szCs w:val="27"/>
        </w:rPr>
        <w:t>3</w:t>
      </w:r>
      <w:r w:rsidRPr="00A0041E">
        <w:rPr>
          <w:rFonts w:ascii="ˎ̥" w:eastAsia="宋体" w:hAnsi="ˎ̥" w:cs="宋体"/>
          <w:color w:val="3C3C3C"/>
          <w:kern w:val="0"/>
          <w:sz w:val="27"/>
          <w:szCs w:val="27"/>
        </w:rPr>
        <w:t>、</w:t>
      </w:r>
      <w:hyperlink r:id="rId11" w:history="1">
        <w:r w:rsidRPr="00A0041E">
          <w:rPr>
            <w:rFonts w:ascii="ˎ̥" w:eastAsia="宋体" w:hAnsi="ˎ̥" w:cs="宋体"/>
            <w:color w:val="000000"/>
            <w:kern w:val="0"/>
            <w:sz w:val="27"/>
          </w:rPr>
          <w:t>增城区朱村街横塱村</w:t>
        </w:r>
        <w:r w:rsidRPr="00A0041E">
          <w:rPr>
            <w:rFonts w:ascii="ˎ̥" w:eastAsia="宋体" w:hAnsi="ˎ̥" w:cs="宋体"/>
            <w:color w:val="000000"/>
            <w:kern w:val="0"/>
            <w:sz w:val="27"/>
          </w:rPr>
          <w:t>83003208A19017</w:t>
        </w:r>
        <w:r w:rsidRPr="00A0041E">
          <w:rPr>
            <w:rFonts w:ascii="ˎ̥" w:eastAsia="宋体" w:hAnsi="ˎ̥" w:cs="宋体"/>
            <w:color w:val="000000"/>
            <w:kern w:val="0"/>
            <w:sz w:val="27"/>
          </w:rPr>
          <w:t>号地块宗地图</w:t>
        </w:r>
        <w:r w:rsidRPr="00A0041E">
          <w:rPr>
            <w:rFonts w:ascii="ˎ̥" w:eastAsia="宋体" w:hAnsi="ˎ̥" w:cs="宋体"/>
            <w:color w:val="000000"/>
            <w:kern w:val="0"/>
            <w:sz w:val="27"/>
          </w:rPr>
          <w:t>.jpg</w:t>
        </w:r>
      </w:hyperlink>
    </w:p>
    <w:p w:rsidR="005D2286" w:rsidRPr="00A0041E" w:rsidRDefault="005D2286"/>
    <w:sectPr w:rsidR="005D2286" w:rsidRPr="00A004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286" w:rsidRDefault="005D2286" w:rsidP="00A0041E">
      <w:r>
        <w:separator/>
      </w:r>
    </w:p>
  </w:endnote>
  <w:endnote w:type="continuationSeparator" w:id="1">
    <w:p w:rsidR="005D2286" w:rsidRDefault="005D2286" w:rsidP="00A004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286" w:rsidRDefault="005D2286" w:rsidP="00A0041E">
      <w:r>
        <w:separator/>
      </w:r>
    </w:p>
  </w:footnote>
  <w:footnote w:type="continuationSeparator" w:id="1">
    <w:p w:rsidR="005D2286" w:rsidRDefault="005D2286" w:rsidP="00A004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41E"/>
    <w:rsid w:val="005D2286"/>
    <w:rsid w:val="00A004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04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041E"/>
    <w:rPr>
      <w:sz w:val="18"/>
      <w:szCs w:val="18"/>
    </w:rPr>
  </w:style>
  <w:style w:type="paragraph" w:styleId="a4">
    <w:name w:val="footer"/>
    <w:basedOn w:val="a"/>
    <w:link w:val="Char0"/>
    <w:uiPriority w:val="99"/>
    <w:semiHidden/>
    <w:unhideWhenUsed/>
    <w:rsid w:val="00A004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041E"/>
    <w:rPr>
      <w:sz w:val="18"/>
      <w:szCs w:val="18"/>
    </w:rPr>
  </w:style>
  <w:style w:type="character" w:styleId="a5">
    <w:name w:val="Hyperlink"/>
    <w:basedOn w:val="a0"/>
    <w:uiPriority w:val="99"/>
    <w:semiHidden/>
    <w:unhideWhenUsed/>
    <w:rsid w:val="00A0041E"/>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2090225419">
      <w:bodyDiv w:val="1"/>
      <w:marLeft w:val="0"/>
      <w:marRight w:val="0"/>
      <w:marTop w:val="0"/>
      <w:marBottom w:val="0"/>
      <w:divBdr>
        <w:top w:val="none" w:sz="0" w:space="0" w:color="auto"/>
        <w:left w:val="none" w:sz="0" w:space="0" w:color="auto"/>
        <w:bottom w:val="none" w:sz="0" w:space="0" w:color="auto"/>
        <w:right w:val="none" w:sz="0" w:space="0" w:color="auto"/>
      </w:divBdr>
      <w:divsChild>
        <w:div w:id="1803230136">
          <w:marLeft w:val="0"/>
          <w:marRight w:val="0"/>
          <w:marTop w:val="0"/>
          <w:marBottom w:val="0"/>
          <w:divBdr>
            <w:top w:val="none" w:sz="0" w:space="0" w:color="auto"/>
            <w:left w:val="none" w:sz="0" w:space="0" w:color="auto"/>
            <w:bottom w:val="none" w:sz="0" w:space="0" w:color="auto"/>
            <w:right w:val="none" w:sz="0" w:space="0" w:color="auto"/>
          </w:divBdr>
          <w:divsChild>
            <w:div w:id="1503350575">
              <w:marLeft w:val="0"/>
              <w:marRight w:val="0"/>
              <w:marTop w:val="0"/>
              <w:marBottom w:val="0"/>
              <w:divBdr>
                <w:top w:val="single" w:sz="6" w:space="15" w:color="AAE5EB"/>
                <w:left w:val="single" w:sz="6" w:space="15" w:color="AAE5EB"/>
                <w:bottom w:val="single" w:sz="6" w:space="15" w:color="AAE5EB"/>
                <w:right w:val="single" w:sz="6" w:space="15" w:color="AAE5EB"/>
              </w:divBdr>
              <w:divsChild>
                <w:div w:id="11309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ggzy.cn/cms/html/wz/view/index/layout2/tdkc_fwzq_wtr.html?channelId=7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zggzy.cn/cms/wz/view/index/layout3/index.jsp?siteId=1&amp;infoId=519669&amp;channelId=4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cms/wz/view/index/layout3/index.jsp?siteId=1&amp;infoId=406053&amp;channelId=712" TargetMode="External"/><Relationship Id="rId11" Type="http://schemas.openxmlformats.org/officeDocument/2006/relationships/hyperlink" Target="http://tkjy.gzggzy.cn:81/2019/10/%BD%BB%D2%D7%C6%BD%CC%A8/%B9%FA%CD%C1%BD%BB%D2%D7/%D4%F6%B3%C7%C7%F8%D6%EC%B4%E5%BD%D6%BA%E1%89%69%B4%E583003208A19017%BA%C5%B5%D8%BF%E9%D7%DA%B5%D8%CD%BC_yangjieyu_1570671940861.jpg" TargetMode="External"/><Relationship Id="rId5" Type="http://schemas.openxmlformats.org/officeDocument/2006/relationships/endnotes" Target="endnotes.xml"/><Relationship Id="rId10" Type="http://schemas.openxmlformats.org/officeDocument/2006/relationships/hyperlink" Target="http://tkjy.gzggzy.cn:81/2019/10/%BD%BB%D2%D7%C6%BD%CC%A8/%B9%FA%CD%C1%BD%BB%D2%D7/%D4%F6%B3%C7%C7%F8%D6%EC%B4%E5%BD%D6%BA%E1%89%69%B4%E583003208A19017%BA%C5%B5%D8%BF%E9%D3%C3%B5%D8%B9%E6%BB%AE%CC%F5%BC%FE_yangjieyu_1570671935887.pdf" TargetMode="External"/><Relationship Id="rId4" Type="http://schemas.openxmlformats.org/officeDocument/2006/relationships/footnotes" Target="footnotes.xml"/><Relationship Id="rId9" Type="http://schemas.openxmlformats.org/officeDocument/2006/relationships/hyperlink" Target="http://tkjy.gzggzy.cn:81/2019/10/%BD%BB%D2%D7%C6%BD%CC%A8/%B9%FA%CD%C1%BD%BB%D2%D7/%D4%F6%B3%C7%C7%F8%D6%EC%B4%E5%BD%D6%BA%E1%89%69%B4%E583003208A19017%BA%C5%B5%D8%BF%E9%B3%F6%C8%C3%BA%CF%CD%AC%C4%A3%B0%E5_yangjieyu_157067192716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673</Words>
  <Characters>3842</Characters>
  <Application>Microsoft Office Word</Application>
  <DocSecurity>0</DocSecurity>
  <Lines>32</Lines>
  <Paragraphs>9</Paragraphs>
  <ScaleCrop>false</ScaleCrop>
  <Company>Sky123.Org</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2019-10-10T02:15:00Z</dcterms:created>
  <dcterms:modified xsi:type="dcterms:W3CDTF">2019-10-10T02:15:00Z</dcterms:modified>
</cp:coreProperties>
</file>