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D9" w:rsidRPr="006E16D9" w:rsidRDefault="006E16D9" w:rsidP="006E16D9">
      <w:pPr>
        <w:widowControl/>
        <w:shd w:val="clear" w:color="auto" w:fill="FFFFFF"/>
        <w:jc w:val="left"/>
        <w:rPr>
          <w:rFonts w:ascii="ˎ̥" w:eastAsia="宋体" w:hAnsi="ˎ̥" w:cs="宋体" w:hint="eastAsia"/>
          <w:color w:val="3C3C3C"/>
          <w:kern w:val="0"/>
          <w:sz w:val="16"/>
          <w:szCs w:val="16"/>
        </w:rPr>
      </w:pPr>
    </w:p>
    <w:p w:rsidR="006E16D9" w:rsidRPr="006E16D9" w:rsidRDefault="006E16D9" w:rsidP="006E16D9">
      <w:pPr>
        <w:widowControl/>
        <w:shd w:val="clear" w:color="auto" w:fill="FFFFFF"/>
        <w:spacing w:line="360" w:lineRule="auto"/>
        <w:jc w:val="center"/>
        <w:rPr>
          <w:rFonts w:ascii="宋体" w:eastAsia="宋体" w:hAnsi="宋体" w:cs="宋体"/>
          <w:b/>
          <w:color w:val="333333"/>
          <w:kern w:val="0"/>
          <w:sz w:val="24"/>
          <w:szCs w:val="24"/>
        </w:rPr>
      </w:pPr>
      <w:r w:rsidRPr="006E16D9">
        <w:rPr>
          <w:rFonts w:ascii="宋体" w:eastAsia="宋体" w:hAnsi="宋体" w:cs="宋体" w:hint="eastAsia"/>
          <w:b/>
          <w:color w:val="333333"/>
          <w:kern w:val="0"/>
          <w:sz w:val="36"/>
          <w:szCs w:val="36"/>
        </w:rPr>
        <w:t>广州市规划和自然资源局国有土地使用权</w:t>
      </w:r>
    </w:p>
    <w:p w:rsidR="006E16D9" w:rsidRPr="006E16D9" w:rsidRDefault="006E16D9" w:rsidP="006E16D9">
      <w:pPr>
        <w:widowControl/>
        <w:shd w:val="clear" w:color="auto" w:fill="FFFFFF"/>
        <w:spacing w:line="360" w:lineRule="auto"/>
        <w:jc w:val="center"/>
        <w:rPr>
          <w:rFonts w:ascii="宋体" w:eastAsia="宋体" w:hAnsi="宋体" w:cs="宋体"/>
          <w:color w:val="3C3C3C"/>
          <w:kern w:val="0"/>
          <w:sz w:val="24"/>
          <w:szCs w:val="24"/>
        </w:rPr>
      </w:pPr>
      <w:r w:rsidRPr="006E16D9">
        <w:rPr>
          <w:rFonts w:ascii="宋体" w:eastAsia="宋体" w:hAnsi="宋体" w:cs="宋体" w:hint="eastAsia"/>
          <w:b/>
          <w:color w:val="333333"/>
          <w:kern w:val="0"/>
          <w:sz w:val="36"/>
          <w:szCs w:val="36"/>
        </w:rPr>
        <w:t>网上挂牌出让公告</w:t>
      </w:r>
    </w:p>
    <w:p w:rsidR="006E16D9" w:rsidRPr="006E16D9" w:rsidRDefault="006E16D9" w:rsidP="006E16D9">
      <w:pPr>
        <w:widowControl/>
        <w:shd w:val="clear" w:color="auto" w:fill="FFFFFF"/>
        <w:spacing w:line="360" w:lineRule="auto"/>
        <w:jc w:val="center"/>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穗规划资源挂出告字〔2019〕47号</w:t>
      </w:r>
    </w:p>
    <w:p w:rsidR="006E16D9" w:rsidRPr="006E16D9" w:rsidRDefault="006E16D9" w:rsidP="006E16D9">
      <w:pPr>
        <w:widowControl/>
        <w:shd w:val="clear" w:color="auto" w:fill="FFFFFF"/>
        <w:spacing w:line="360" w:lineRule="auto"/>
        <w:jc w:val="center"/>
        <w:rPr>
          <w:rFonts w:ascii="宋体" w:eastAsia="宋体" w:hAnsi="宋体" w:cs="宋体"/>
          <w:color w:val="3C3C3C"/>
          <w:kern w:val="0"/>
          <w:sz w:val="24"/>
          <w:szCs w:val="24"/>
        </w:rPr>
      </w:pPr>
      <w:r w:rsidRPr="006E16D9">
        <w:rPr>
          <w:rFonts w:ascii="Times New Roman" w:eastAsia="宋体" w:hAnsi="Times New Roman" w:cs="Times New Roman"/>
          <w:color w:val="3C3C3C"/>
          <w:kern w:val="0"/>
          <w:sz w:val="24"/>
          <w:szCs w:val="24"/>
        </w:rPr>
        <w:t>  </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经广州市人民政府批准，广州市规划和自然资源局以挂牌方式出让1宗地的国有土地使用权，现将有关事项公告如下：</w:t>
      </w:r>
    </w:p>
    <w:p w:rsidR="006E16D9" w:rsidRPr="006E16D9" w:rsidRDefault="006E16D9" w:rsidP="006E16D9">
      <w:pPr>
        <w:widowControl/>
        <w:shd w:val="clear" w:color="auto" w:fill="FFFFFF"/>
        <w:spacing w:line="360" w:lineRule="auto"/>
        <w:ind w:firstLineChars="200" w:firstLine="482"/>
        <w:jc w:val="left"/>
        <w:rPr>
          <w:rFonts w:ascii="宋体" w:eastAsia="宋体" w:hAnsi="宋体" w:cs="宋体"/>
          <w:b/>
          <w:color w:val="333333"/>
          <w:kern w:val="0"/>
          <w:sz w:val="24"/>
          <w:szCs w:val="24"/>
        </w:rPr>
      </w:pPr>
      <w:r w:rsidRPr="006E16D9">
        <w:rPr>
          <w:rFonts w:ascii="宋体" w:eastAsia="宋体" w:hAnsi="宋体" w:cs="宋体" w:hint="eastAsia"/>
          <w:b/>
          <w:color w:val="333333"/>
          <w:kern w:val="0"/>
          <w:sz w:val="24"/>
          <w:szCs w:val="24"/>
        </w:rPr>
        <w:t>一、挂牌出让宗地的基本情况和规划指标要求</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1112"/>
        <w:gridCol w:w="1040"/>
        <w:gridCol w:w="1220"/>
        <w:gridCol w:w="990"/>
        <w:gridCol w:w="992"/>
        <w:gridCol w:w="932"/>
        <w:gridCol w:w="648"/>
        <w:gridCol w:w="830"/>
        <w:gridCol w:w="758"/>
      </w:tblGrid>
      <w:tr w:rsidR="006E16D9" w:rsidRPr="006E16D9" w:rsidTr="006E16D9">
        <w:trPr>
          <w:trHeight w:val="624"/>
        </w:trPr>
        <w:tc>
          <w:tcPr>
            <w:tcW w:w="652" w:type="pct"/>
            <w:vMerge w:val="restart"/>
            <w:tcBorders>
              <w:top w:val="single" w:sz="8" w:space="0" w:color="auto"/>
              <w:left w:val="single" w:sz="8"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宗地坐落</w:t>
            </w:r>
          </w:p>
        </w:tc>
        <w:tc>
          <w:tcPr>
            <w:tcW w:w="610" w:type="pct"/>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土地用途</w:t>
            </w:r>
          </w:p>
        </w:tc>
        <w:tc>
          <w:tcPr>
            <w:tcW w:w="716" w:type="pct"/>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jc w:val="center"/>
              <w:rPr>
                <w:rFonts w:ascii="宋体" w:eastAsia="宋体" w:hAnsi="宋体" w:cs="宋体"/>
                <w:b/>
                <w:bCs/>
                <w:color w:val="333333"/>
                <w:kern w:val="0"/>
                <w:szCs w:val="21"/>
              </w:rPr>
            </w:pPr>
            <w:r w:rsidRPr="006E16D9">
              <w:rPr>
                <w:rFonts w:ascii="宋体" w:eastAsia="宋体" w:hAnsi="宋体" w:cs="宋体" w:hint="eastAsia"/>
                <w:b/>
                <w:bCs/>
                <w:color w:val="333333"/>
                <w:kern w:val="0"/>
                <w:szCs w:val="21"/>
              </w:rPr>
              <w:t>宗地面积</w:t>
            </w:r>
          </w:p>
          <w:p w:rsidR="006E16D9" w:rsidRPr="006E16D9" w:rsidRDefault="006E16D9" w:rsidP="006E16D9">
            <w:pPr>
              <w:widowControl/>
              <w:spacing w:before="100" w:beforeAutospacing="1" w:after="100" w:afterAutospacing="1"/>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（平方米）</w:t>
            </w:r>
          </w:p>
        </w:tc>
        <w:tc>
          <w:tcPr>
            <w:tcW w:w="581" w:type="pct"/>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计算容积率建筑面积(平方米)</w:t>
            </w:r>
          </w:p>
        </w:tc>
        <w:tc>
          <w:tcPr>
            <w:tcW w:w="582" w:type="pct"/>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挂牌起始价(万元)</w:t>
            </w:r>
          </w:p>
        </w:tc>
        <w:tc>
          <w:tcPr>
            <w:tcW w:w="547" w:type="pct"/>
            <w:vMerge w:val="restart"/>
            <w:tcBorders>
              <w:top w:val="single" w:sz="8"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增价幅度（</w:t>
            </w:r>
            <w:r w:rsidRPr="006E16D9">
              <w:rPr>
                <w:rFonts w:asciiTheme="majorEastAsia" w:eastAsiaTheme="majorEastAsia" w:hAnsiTheme="majorEastAsia" w:cs="宋体" w:hint="eastAsia"/>
                <w:b/>
                <w:color w:val="333333"/>
                <w:kern w:val="0"/>
                <w:szCs w:val="21"/>
              </w:rPr>
              <w:t>自持商品住房面积比例</w:t>
            </w:r>
            <w:r w:rsidRPr="006E16D9">
              <w:rPr>
                <w:rFonts w:ascii="宋体" w:eastAsia="宋体" w:hAnsi="宋体" w:cs="宋体" w:hint="eastAsia"/>
                <w:b/>
                <w:bCs/>
                <w:color w:val="333333"/>
                <w:kern w:val="0"/>
                <w:szCs w:val="21"/>
              </w:rPr>
              <w:t>）</w:t>
            </w:r>
          </w:p>
        </w:tc>
        <w:tc>
          <w:tcPr>
            <w:tcW w:w="1312" w:type="pct"/>
            <w:gridSpan w:val="3"/>
            <w:tcBorders>
              <w:top w:val="single" w:sz="8"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竞买保证金(万元)</w:t>
            </w:r>
          </w:p>
        </w:tc>
      </w:tr>
      <w:tr w:rsidR="006E16D9" w:rsidRPr="006E16D9" w:rsidTr="006E16D9">
        <w:trPr>
          <w:trHeight w:val="330"/>
        </w:trPr>
        <w:tc>
          <w:tcPr>
            <w:tcW w:w="0" w:type="auto"/>
            <w:vMerge/>
            <w:tcBorders>
              <w:top w:val="single" w:sz="8" w:space="0" w:color="auto"/>
              <w:left w:val="single" w:sz="8"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0" w:type="auto"/>
            <w:vMerge/>
            <w:tcBorders>
              <w:top w:val="single" w:sz="8" w:space="0" w:color="auto"/>
              <w:left w:val="single" w:sz="6" w:space="0" w:color="auto"/>
              <w:bottom w:val="single" w:sz="6" w:space="0" w:color="auto"/>
              <w:right w:val="single" w:sz="6" w:space="0" w:color="auto"/>
            </w:tcBorders>
            <w:vAlign w:val="center"/>
            <w:hideMark/>
          </w:tcPr>
          <w:p w:rsidR="006E16D9" w:rsidRPr="006E16D9" w:rsidRDefault="006E16D9" w:rsidP="006E16D9">
            <w:pPr>
              <w:widowControl/>
              <w:jc w:val="left"/>
              <w:rPr>
                <w:rFonts w:ascii="宋体" w:eastAsia="宋体" w:hAnsi="宋体" w:cs="宋体"/>
                <w:color w:val="3C3C3C"/>
                <w:kern w:val="0"/>
                <w:szCs w:val="21"/>
              </w:rPr>
            </w:pPr>
          </w:p>
        </w:tc>
        <w:tc>
          <w:tcPr>
            <w:tcW w:w="380" w:type="pc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人民币</w:t>
            </w:r>
          </w:p>
        </w:tc>
        <w:tc>
          <w:tcPr>
            <w:tcW w:w="487" w:type="pc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港币</w:t>
            </w:r>
          </w:p>
        </w:tc>
        <w:tc>
          <w:tcPr>
            <w:tcW w:w="445" w:type="pct"/>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b/>
                <w:bCs/>
                <w:color w:val="333333"/>
                <w:kern w:val="0"/>
                <w:szCs w:val="21"/>
              </w:rPr>
              <w:t>美元</w:t>
            </w:r>
          </w:p>
        </w:tc>
      </w:tr>
      <w:tr w:rsidR="006E16D9" w:rsidRPr="006E16D9" w:rsidTr="006E16D9">
        <w:trPr>
          <w:trHeight w:val="1342"/>
        </w:trPr>
        <w:tc>
          <w:tcPr>
            <w:tcW w:w="652" w:type="pct"/>
            <w:tcBorders>
              <w:top w:val="single" w:sz="6" w:space="0" w:color="auto"/>
              <w:left w:val="single" w:sz="8"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exac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番禺区东环街易兴DHJ15-01地块</w:t>
            </w:r>
          </w:p>
        </w:tc>
        <w:tc>
          <w:tcPr>
            <w:tcW w:w="610"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exac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二类居住用地（R2）</w:t>
            </w:r>
          </w:p>
        </w:tc>
        <w:tc>
          <w:tcPr>
            <w:tcW w:w="716"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 xml:space="preserve">131906 </w:t>
            </w:r>
          </w:p>
          <w:p w:rsidR="006E16D9" w:rsidRPr="006E16D9" w:rsidRDefault="006E16D9" w:rsidP="006E16D9">
            <w:pPr>
              <w:widowControl/>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(可建设用地面积105748)</w:t>
            </w:r>
          </w:p>
        </w:tc>
        <w:tc>
          <w:tcPr>
            <w:tcW w:w="581"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 </w:t>
            </w:r>
          </w:p>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≤244477</w:t>
            </w:r>
          </w:p>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 </w:t>
            </w:r>
          </w:p>
        </w:tc>
        <w:tc>
          <w:tcPr>
            <w:tcW w:w="582"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554474</w:t>
            </w:r>
          </w:p>
        </w:tc>
        <w:tc>
          <w:tcPr>
            <w:tcW w:w="547"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atLeast"/>
              <w:jc w:val="center"/>
              <w:rPr>
                <w:rFonts w:asciiTheme="majorEastAsia" w:eastAsiaTheme="majorEastAsia" w:hAnsiTheme="majorEastAsia" w:cs="宋体"/>
                <w:color w:val="3C3C3C"/>
                <w:kern w:val="0"/>
                <w:szCs w:val="21"/>
              </w:rPr>
            </w:pPr>
            <w:r w:rsidRPr="006E16D9">
              <w:rPr>
                <w:rFonts w:asciiTheme="majorEastAsia" w:eastAsiaTheme="majorEastAsia" w:hAnsiTheme="majorEastAsia" w:cs="宋体" w:hint="eastAsia"/>
                <w:color w:val="3C3C3C"/>
                <w:kern w:val="0"/>
                <w:szCs w:val="21"/>
              </w:rPr>
              <w:t>5%（扣除政府回购住房后商品住房建筑面积）</w:t>
            </w:r>
          </w:p>
        </w:tc>
        <w:tc>
          <w:tcPr>
            <w:tcW w:w="380"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110895</w:t>
            </w:r>
          </w:p>
        </w:tc>
        <w:tc>
          <w:tcPr>
            <w:tcW w:w="487" w:type="pct"/>
            <w:tcBorders>
              <w:top w:val="single" w:sz="6" w:space="0" w:color="auto"/>
              <w:left w:val="single" w:sz="6" w:space="0" w:color="auto"/>
              <w:bottom w:val="single" w:sz="8" w:space="0" w:color="auto"/>
              <w:right w:val="single" w:sz="6"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123500</w:t>
            </w:r>
          </w:p>
        </w:tc>
        <w:tc>
          <w:tcPr>
            <w:tcW w:w="445" w:type="pct"/>
            <w:tcBorders>
              <w:top w:val="single" w:sz="6" w:space="0" w:color="auto"/>
              <w:left w:val="single" w:sz="6" w:space="0" w:color="auto"/>
              <w:bottom w:val="single" w:sz="8" w:space="0" w:color="auto"/>
              <w:right w:val="single" w:sz="8" w:space="0" w:color="auto"/>
            </w:tcBorders>
            <w:shd w:val="clear" w:color="auto" w:fill="auto"/>
            <w:vAlign w:val="center"/>
            <w:hideMark/>
          </w:tcPr>
          <w:p w:rsidR="006E16D9" w:rsidRPr="006E16D9" w:rsidRDefault="006E16D9" w:rsidP="006E16D9">
            <w:pPr>
              <w:widowControl/>
              <w:spacing w:before="100" w:beforeAutospacing="1" w:after="100" w:afterAutospacing="1" w:line="327" w:lineRule="atLeast"/>
              <w:jc w:val="center"/>
              <w:rPr>
                <w:rFonts w:ascii="宋体" w:eastAsia="宋体" w:hAnsi="宋体" w:cs="宋体"/>
                <w:color w:val="3C3C3C"/>
                <w:kern w:val="0"/>
                <w:szCs w:val="21"/>
              </w:rPr>
            </w:pPr>
            <w:r w:rsidRPr="006E16D9">
              <w:rPr>
                <w:rFonts w:ascii="宋体" w:eastAsia="宋体" w:hAnsi="宋体" w:cs="宋体" w:hint="eastAsia"/>
                <w:color w:val="3C3C3C"/>
                <w:kern w:val="0"/>
                <w:szCs w:val="21"/>
              </w:rPr>
              <w:t>15800</w:t>
            </w:r>
          </w:p>
        </w:tc>
      </w:tr>
    </w:tbl>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（一）需满足的其它出让条件如下：</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1.地块一范围内东北侧现有高压线路穿过，竞得人须按照相关政策法规要求，对高压线进行合理保护和利用，地块开发建设时需按供电部门意见负责下地改造处理，竞得人不得将供电线路的处理作为项目申请延期开发（包括开工、竣工等）的依据。</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2.宗地红线范围内道路（除东艺路一支路外）、绿地、交通枢纽用地（地块四）由竞得人负责出资按规划建设，并与该项目首期工程同步建设、同步验收，按照该地块《国有建设用地使用权出让合同》第十六条约定的竣工时间建成后须无偿移交给广州市番禺区政府。</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3.竞得人须在地块一内提供建筑面积6000平方米住房，在地块三内提供建筑面积10000平方米住房，上述住房均由广州市番禺区政府指定单位按3500元/平方米的价格回购。竞得人须提供240个机动车停车位供政府性回购住房住户购置或租赁使用，购置标准或租赁标准与该项目其他车位价格一致。政府回购住房</w:t>
      </w:r>
      <w:r w:rsidRPr="006E16D9">
        <w:rPr>
          <w:rFonts w:ascii="宋体" w:eastAsia="宋体" w:hAnsi="宋体" w:cs="宋体" w:hint="eastAsia"/>
          <w:color w:val="3C3C3C"/>
          <w:kern w:val="0"/>
          <w:sz w:val="24"/>
          <w:szCs w:val="24"/>
        </w:rPr>
        <w:lastRenderedPageBreak/>
        <w:t>的位置、户型套数等需在报建（修建性详细规划、建设工程规划许可证）前取得广州市番禺区政府的同意，建设质量、装修标准与该项目其他房屋建设、装修标准一致。若土地受让人开发的商品住宅存在多个装修标准时，政府性回购住房的建设质量、装修标准需取得广州市番禺区政府的同意。政府性回购住房需与首期工程同步建设、同步验收。政府性回购住房在办理房屋回购交易手续时，双方按购房合同约定支付购房款，按规定各自支付相应的税费。政府性回购住房物业管理费在房屋移交给广州市番禺区政府指定单位之日起，3年内由竞得人承担，3年后由广州市番禺区政府指定单位或住户缴交，具体缴费标准由广州市番禺区政府指定单位或住户与物业管理公司约定。</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4.竞得人须采用装配式建筑的建造方式，应满足国家或省现行的装配式建筑评价标准要求。</w:t>
      </w:r>
    </w:p>
    <w:p w:rsidR="006E16D9" w:rsidRPr="006E16D9" w:rsidRDefault="006E16D9" w:rsidP="006E16D9">
      <w:pPr>
        <w:widowControl/>
        <w:shd w:val="clear" w:color="auto" w:fill="FFFFFF"/>
        <w:spacing w:line="360" w:lineRule="auto"/>
        <w:ind w:firstLineChars="200" w:firstLine="480"/>
        <w:jc w:val="left"/>
        <w:rPr>
          <w:rFonts w:asciiTheme="minorEastAsia" w:hAnsiTheme="minorEastAsia" w:cs="宋体"/>
          <w:color w:val="3C3C3C"/>
          <w:kern w:val="0"/>
          <w:sz w:val="24"/>
          <w:szCs w:val="24"/>
        </w:rPr>
      </w:pPr>
      <w:r w:rsidRPr="006E16D9">
        <w:rPr>
          <w:rFonts w:asciiTheme="minorEastAsia" w:hAnsiTheme="minorEastAsia" w:cs="宋体" w:hint="eastAsia"/>
          <w:color w:val="3C3C3C"/>
          <w:kern w:val="0"/>
          <w:sz w:val="24"/>
          <w:szCs w:val="24"/>
        </w:rPr>
        <w:t>（二）土地使用权出让年限为：70年。</w:t>
      </w:r>
    </w:p>
    <w:p w:rsidR="006E16D9" w:rsidRPr="006E16D9" w:rsidRDefault="006E16D9" w:rsidP="006E16D9">
      <w:pPr>
        <w:widowControl/>
        <w:shd w:val="clear" w:color="auto" w:fill="FFFFFF"/>
        <w:spacing w:line="360" w:lineRule="auto"/>
        <w:ind w:firstLineChars="200" w:firstLine="480"/>
        <w:jc w:val="left"/>
        <w:rPr>
          <w:rFonts w:asciiTheme="minorEastAsia" w:hAnsiTheme="minorEastAsia" w:cs="宋体"/>
          <w:color w:val="3C3C3C"/>
          <w:kern w:val="0"/>
          <w:sz w:val="24"/>
          <w:szCs w:val="24"/>
        </w:rPr>
      </w:pPr>
      <w:r w:rsidRPr="006E16D9">
        <w:rPr>
          <w:rFonts w:asciiTheme="minorEastAsia" w:hAnsiTheme="minorEastAsia" w:cs="宋体" w:hint="eastAsia"/>
          <w:color w:val="3C3C3C"/>
          <w:kern w:val="0"/>
          <w:sz w:val="24"/>
          <w:szCs w:val="24"/>
        </w:rPr>
        <w:t>具体情况及要求可参阅：《成交确认书》（样本）、《广州市国有建设用地使用权出让合同》（样本）、《竞买须知》及相关规划文件，规划指标要求按国家有关规定和规划部门最新批复执行。</w:t>
      </w:r>
    </w:p>
    <w:p w:rsidR="006E16D9" w:rsidRPr="006E16D9" w:rsidRDefault="006E16D9" w:rsidP="006E16D9">
      <w:pPr>
        <w:widowControl/>
        <w:shd w:val="clear" w:color="auto" w:fill="FFFFFF"/>
        <w:spacing w:line="360" w:lineRule="auto"/>
        <w:ind w:firstLineChars="200" w:firstLine="482"/>
        <w:jc w:val="left"/>
        <w:rPr>
          <w:rFonts w:ascii="宋体" w:eastAsia="宋体" w:hAnsi="宋体" w:cs="宋体"/>
          <w:b/>
          <w:color w:val="333333"/>
          <w:kern w:val="0"/>
          <w:sz w:val="24"/>
          <w:szCs w:val="24"/>
          <w:u w:val="single"/>
        </w:rPr>
      </w:pPr>
      <w:r w:rsidRPr="006E16D9">
        <w:rPr>
          <w:rFonts w:ascii="宋体" w:eastAsia="宋体" w:hAnsi="宋体" w:cs="仿宋_GB2312" w:hint="eastAsia"/>
          <w:b/>
          <w:color w:val="333333"/>
          <w:kern w:val="0"/>
          <w:sz w:val="24"/>
          <w:szCs w:val="24"/>
          <w:shd w:val="clear" w:color="auto" w:fill="FFFFFF"/>
        </w:rPr>
        <w:t>二、中华人民共和国境内外的法人、自然人和其他组织均可申请竞买，竞买人可以单独申请，也可以联合申请。</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仿宋_GB2312" w:hint="eastAsia"/>
          <w:color w:val="3C3C3C"/>
          <w:kern w:val="0"/>
          <w:sz w:val="24"/>
          <w:szCs w:val="24"/>
          <w:shd w:val="clear" w:color="auto" w:fill="FFFFFF"/>
        </w:rPr>
        <w:t>竞买人应具备的其他条件：联合竞买的,联合体成员须全部符合竞买人资格要求，竞买申请书应列明各成员单位并签章；联合体须提交《联合竞买协议》，各成员单位为竞买及竞得后的行为承担连带责任。中华人民共和国境外的法人、自然人和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仿宋_GB2312" w:hint="eastAsia"/>
          <w:color w:val="3C3C3C"/>
          <w:kern w:val="0"/>
          <w:sz w:val="24"/>
          <w:szCs w:val="24"/>
          <w:shd w:val="clear" w:color="auto" w:fill="FFFFFF"/>
        </w:rPr>
        <w:t>竞买人在广州市范围内竞买商品住宅用地从事房地产开发必须使用自有资金，具体要求按照《广州市住房和城乡建设委员会 广州市国土资源和规划委员会 广州市金融工作局关于对竞买商品住宅用地资金来源核查的通知》（穗建房产〔2016〕2144号）执行。</w:t>
      </w:r>
    </w:p>
    <w:p w:rsidR="006E16D9" w:rsidRPr="006E16D9" w:rsidRDefault="006E16D9" w:rsidP="006E16D9">
      <w:pPr>
        <w:widowControl/>
        <w:shd w:val="clear" w:color="auto" w:fill="FFFFFF"/>
        <w:spacing w:line="360" w:lineRule="auto"/>
        <w:ind w:firstLineChars="200" w:firstLine="482"/>
        <w:jc w:val="left"/>
        <w:rPr>
          <w:rFonts w:ascii="宋体" w:eastAsia="宋体" w:hAnsi="宋体" w:cs="宋体"/>
          <w:b/>
          <w:color w:val="333333"/>
          <w:kern w:val="0"/>
          <w:sz w:val="24"/>
          <w:szCs w:val="24"/>
        </w:rPr>
      </w:pPr>
      <w:r w:rsidRPr="006E16D9">
        <w:rPr>
          <w:rFonts w:ascii="宋体" w:eastAsia="宋体" w:hAnsi="宋体" w:cs="宋体" w:hint="eastAsia"/>
          <w:b/>
          <w:color w:val="333333"/>
          <w:kern w:val="0"/>
          <w:sz w:val="24"/>
          <w:szCs w:val="24"/>
        </w:rPr>
        <w:t>三、成交原则</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lastRenderedPageBreak/>
        <w:t>当有两个或两个以上竞买人参与竞价时，竞买方式转为竞企业自持商品住房面积（以不动产登记的建筑面积为准）的方式确定竞得人，竞价阶梯为该宗地内扣除政府回购住房后商品住房建筑面积的5%，竞买人报出自持面积比例最高的为竞得人。</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当有两个或两个以上竞买人报出企业自持商品住房面积为100%后，停止网上竞价，改为摇号确定竞得人，所有接受100%自持商品住房面积的竞买人参加摇号，摇号时间为限时竞价后3个工作日内。</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企业自持部分作为租赁住房，持有年限与土地出让年限一致，不得分割处分，抵押、转让须与本项目全部自持租赁住房整体一并办理。</w:t>
      </w:r>
    </w:p>
    <w:p w:rsidR="006E16D9" w:rsidRPr="006E16D9" w:rsidRDefault="006E16D9" w:rsidP="006E16D9">
      <w:pPr>
        <w:widowControl/>
        <w:shd w:val="clear" w:color="auto" w:fill="FFFFFF"/>
        <w:spacing w:line="360" w:lineRule="auto"/>
        <w:ind w:firstLineChars="200" w:firstLine="482"/>
        <w:jc w:val="left"/>
        <w:rPr>
          <w:rFonts w:ascii="宋体" w:eastAsia="宋体" w:hAnsi="宋体" w:cs="宋体"/>
          <w:b/>
          <w:color w:val="333333"/>
          <w:kern w:val="0"/>
          <w:sz w:val="24"/>
          <w:szCs w:val="24"/>
          <w:u w:val="single"/>
        </w:rPr>
      </w:pPr>
      <w:r w:rsidRPr="006E16D9">
        <w:rPr>
          <w:rFonts w:ascii="宋体" w:eastAsia="宋体" w:hAnsi="宋体" w:cs="宋体" w:hint="eastAsia"/>
          <w:b/>
          <w:color w:val="333333"/>
          <w:kern w:val="0"/>
          <w:sz w:val="24"/>
          <w:szCs w:val="24"/>
        </w:rPr>
        <w:t>四、时间安排</w:t>
      </w:r>
    </w:p>
    <w:p w:rsidR="006E16D9" w:rsidRPr="006E16D9" w:rsidRDefault="006E16D9" w:rsidP="006E16D9">
      <w:pPr>
        <w:widowControl/>
        <w:shd w:val="clear" w:color="auto" w:fill="FFFFFF"/>
        <w:spacing w:line="360" w:lineRule="auto"/>
        <w:ind w:left="360" w:hangingChars="150" w:hanging="36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 xml:space="preserve">   （一）公告时间：2019年11月4日至2019年11月25日</w:t>
      </w:r>
    </w:p>
    <w:p w:rsidR="006E16D9" w:rsidRPr="006E16D9" w:rsidRDefault="006E16D9" w:rsidP="006E16D9">
      <w:pPr>
        <w:widowControl/>
        <w:shd w:val="clear" w:color="auto" w:fill="FFFFFF"/>
        <w:spacing w:line="360" w:lineRule="auto"/>
        <w:ind w:leftChars="113" w:left="237"/>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（二）网上申请时间：2019年11月4日至2019年11月25日17时</w:t>
      </w:r>
    </w:p>
    <w:p w:rsidR="006E16D9" w:rsidRPr="006E16D9" w:rsidRDefault="006E16D9" w:rsidP="006E16D9">
      <w:pPr>
        <w:widowControl/>
        <w:shd w:val="clear" w:color="auto" w:fill="FFFFFF"/>
        <w:spacing w:line="360" w:lineRule="auto"/>
        <w:ind w:leftChars="113" w:left="237"/>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（三）缴交保证金时间：2019年11月4日至2019年11月25日17时</w:t>
      </w:r>
    </w:p>
    <w:p w:rsidR="006E16D9" w:rsidRPr="006E16D9" w:rsidRDefault="006E16D9" w:rsidP="006E16D9">
      <w:pPr>
        <w:widowControl/>
        <w:shd w:val="clear" w:color="auto" w:fill="FFFFFF"/>
        <w:spacing w:line="360" w:lineRule="auto"/>
        <w:ind w:firstLineChars="150" w:firstLine="36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（四）网上挂牌时间（网上报价时间）：2019年11月26日至2019年12月5日15时</w:t>
      </w:r>
    </w:p>
    <w:p w:rsidR="006E16D9" w:rsidRPr="006E16D9" w:rsidRDefault="006E16D9" w:rsidP="006E16D9">
      <w:pPr>
        <w:widowControl/>
        <w:shd w:val="clear" w:color="auto" w:fill="FFFFFF"/>
        <w:spacing w:line="360" w:lineRule="auto"/>
        <w:ind w:leftChars="113" w:left="237"/>
        <w:jc w:val="left"/>
        <w:rPr>
          <w:rFonts w:ascii="？？" w:eastAsia="宋体" w:hAnsi="宋体" w:cs="宋体"/>
          <w:color w:val="3C3C3C"/>
          <w:kern w:val="0"/>
          <w:sz w:val="24"/>
          <w:szCs w:val="24"/>
        </w:rPr>
      </w:pPr>
      <w:r w:rsidRPr="006E16D9">
        <w:rPr>
          <w:rFonts w:ascii="宋体" w:eastAsia="宋体" w:hAnsi="宋体" w:cs="宋体" w:hint="eastAsia"/>
          <w:color w:val="3C3C3C"/>
          <w:kern w:val="0"/>
          <w:sz w:val="24"/>
          <w:szCs w:val="24"/>
        </w:rPr>
        <w:t>（五）限时竞价时间：2019年12月5日15时起</w:t>
      </w:r>
    </w:p>
    <w:p w:rsidR="006E16D9" w:rsidRPr="006E16D9" w:rsidRDefault="006E16D9" w:rsidP="006E16D9">
      <w:pPr>
        <w:widowControl/>
        <w:shd w:val="clear" w:color="auto" w:fill="FFFFFF"/>
        <w:spacing w:line="360" w:lineRule="auto"/>
        <w:ind w:firstLineChars="200" w:firstLine="482"/>
        <w:jc w:val="left"/>
        <w:rPr>
          <w:rFonts w:ascii="宋体" w:eastAsia="宋体" w:hAnsi="宋体" w:cs="宋体"/>
          <w:b/>
          <w:color w:val="333333"/>
          <w:kern w:val="0"/>
          <w:sz w:val="24"/>
          <w:szCs w:val="24"/>
        </w:rPr>
      </w:pPr>
      <w:r w:rsidRPr="006E16D9">
        <w:rPr>
          <w:rFonts w:ascii="宋体" w:eastAsia="宋体" w:hAnsi="宋体" w:cs="宋体" w:hint="eastAsia"/>
          <w:b/>
          <w:color w:val="333333"/>
          <w:kern w:val="0"/>
          <w:sz w:val="24"/>
          <w:szCs w:val="24"/>
        </w:rPr>
        <w:t>五、其他需要公告的事项</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（一）本次挂牌出让通过</w:t>
      </w:r>
      <w:hyperlink r:id="rId6" w:history="1">
        <w:r w:rsidRPr="006E16D9">
          <w:rPr>
            <w:rFonts w:ascii="宋体" w:eastAsia="宋体" w:hAnsi="宋体" w:cs="宋体" w:hint="eastAsia"/>
            <w:kern w:val="0"/>
            <w:sz w:val="24"/>
            <w:szCs w:val="24"/>
          </w:rPr>
          <w:t>广州土地矿业权网上交易新系统</w:t>
        </w:r>
      </w:hyperlink>
      <w:r w:rsidRPr="006E16D9">
        <w:rPr>
          <w:rFonts w:ascii="宋体" w:eastAsia="宋体" w:hAnsi="宋体" w:cs="宋体" w:hint="eastAsia"/>
          <w:color w:val="3C3C3C"/>
          <w:kern w:val="0"/>
          <w:sz w:val="24"/>
          <w:szCs w:val="24"/>
        </w:rPr>
        <w:t>（https://tkjy.gzggzy.cn/SignOnServlet）进行。竞买申请人必须先行办理CA数字证书，才能登录系统参加网上交易活动。</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（二）</w:t>
      </w:r>
      <w:hyperlink r:id="rId7" w:history="1">
        <w:r w:rsidRPr="006E16D9">
          <w:rPr>
            <w:rFonts w:ascii="宋体" w:eastAsia="宋体" w:hAnsi="宋体" w:cs="宋体" w:hint="eastAsia"/>
            <w:kern w:val="0"/>
            <w:sz w:val="24"/>
            <w:szCs w:val="24"/>
          </w:rPr>
          <w:t>《广州市国有建设用地使用</w:t>
        </w:r>
        <w:bookmarkStart w:id="0" w:name="_Hlt9932038"/>
        <w:r w:rsidRPr="006E16D9">
          <w:rPr>
            <w:rFonts w:ascii="宋体" w:eastAsia="宋体" w:hAnsi="宋体" w:cs="宋体" w:hint="eastAsia"/>
            <w:kern w:val="0"/>
            <w:sz w:val="24"/>
            <w:szCs w:val="24"/>
          </w:rPr>
          <w:t>权网上交易竞买须知》</w:t>
        </w:r>
      </w:hyperlink>
      <w:bookmarkEnd w:id="0"/>
      <w:r w:rsidRPr="006E16D9">
        <w:rPr>
          <w:rFonts w:ascii="宋体" w:eastAsia="宋体" w:hAnsi="宋体" w:cs="宋体" w:hint="eastAsia"/>
          <w:color w:val="3C3C3C"/>
          <w:kern w:val="0"/>
          <w:sz w:val="24"/>
          <w:szCs w:val="24"/>
        </w:rPr>
        <w:t>、</w:t>
      </w:r>
      <w:hyperlink r:id="rId8" w:history="1">
        <w:r w:rsidRPr="006E16D9">
          <w:rPr>
            <w:rFonts w:ascii="宋体" w:eastAsia="宋体" w:hAnsi="宋体" w:cs="宋体" w:hint="eastAsia"/>
            <w:kern w:val="0"/>
            <w:sz w:val="24"/>
            <w:szCs w:val="24"/>
          </w:rPr>
          <w:t>《CA数字证书</w:t>
        </w:r>
        <w:bookmarkStart w:id="1" w:name="_Hlt9932046"/>
        <w:r w:rsidRPr="006E16D9">
          <w:rPr>
            <w:rFonts w:ascii="宋体" w:eastAsia="宋体" w:hAnsi="宋体" w:cs="宋体" w:hint="eastAsia"/>
            <w:kern w:val="0"/>
            <w:sz w:val="24"/>
            <w:szCs w:val="24"/>
          </w:rPr>
          <w:t>与电子签章办理指引》、</w:t>
        </w:r>
      </w:hyperlink>
      <w:bookmarkEnd w:id="1"/>
      <w:r w:rsidR="000F406F" w:rsidRPr="006E16D9">
        <w:rPr>
          <w:rFonts w:ascii="宋体" w:eastAsia="宋体" w:hAnsi="宋体" w:cs="宋体"/>
          <w:color w:val="3C3C3C"/>
          <w:kern w:val="0"/>
          <w:sz w:val="24"/>
          <w:szCs w:val="24"/>
        </w:rPr>
        <w:fldChar w:fldCharType="begin"/>
      </w:r>
      <w:r w:rsidRPr="006E16D9">
        <w:rPr>
          <w:rFonts w:ascii="宋体" w:eastAsia="宋体" w:hAnsi="宋体" w:cs="宋体"/>
          <w:color w:val="3C3C3C"/>
          <w:kern w:val="0"/>
          <w:sz w:val="24"/>
          <w:szCs w:val="24"/>
        </w:rPr>
        <w:instrText xml:space="preserve"> HYPERLINK "http://www.gzggzy.cn/cms/html/wz/view/index/layout2/tdkc_fwzq_wtr.html?channelId=752" </w:instrText>
      </w:r>
      <w:r w:rsidR="000F406F" w:rsidRPr="006E16D9">
        <w:rPr>
          <w:rFonts w:ascii="宋体" w:eastAsia="宋体" w:hAnsi="宋体" w:cs="宋体"/>
          <w:color w:val="3C3C3C"/>
          <w:kern w:val="0"/>
          <w:sz w:val="24"/>
          <w:szCs w:val="24"/>
        </w:rPr>
        <w:fldChar w:fldCharType="separate"/>
      </w:r>
      <w:r w:rsidRPr="006E16D9">
        <w:rPr>
          <w:rFonts w:ascii="宋体" w:eastAsia="宋体" w:hAnsi="宋体" w:cs="宋体" w:hint="eastAsia"/>
          <w:kern w:val="0"/>
          <w:sz w:val="24"/>
          <w:szCs w:val="24"/>
        </w:rPr>
        <w:t>《广州土地矿业权网上交易</w:t>
      </w:r>
      <w:bookmarkStart w:id="2" w:name="_Hlt9932027"/>
      <w:bookmarkStart w:id="3" w:name="_Hlt9932028"/>
      <w:r w:rsidRPr="006E16D9">
        <w:rPr>
          <w:rFonts w:ascii="宋体" w:eastAsia="宋体" w:hAnsi="宋体" w:cs="宋体" w:hint="eastAsia"/>
          <w:kern w:val="0"/>
          <w:sz w:val="24"/>
          <w:szCs w:val="24"/>
        </w:rPr>
        <w:t>系统竞买</w:t>
      </w:r>
      <w:bookmarkStart w:id="4" w:name="_Hlt9932053"/>
      <w:r w:rsidRPr="006E16D9">
        <w:rPr>
          <w:rFonts w:ascii="宋体" w:eastAsia="宋体" w:hAnsi="宋体" w:cs="宋体" w:hint="eastAsia"/>
          <w:kern w:val="0"/>
          <w:sz w:val="24"/>
          <w:szCs w:val="24"/>
        </w:rPr>
        <w:t>人操作手册》</w:t>
      </w:r>
      <w:r w:rsidR="000F406F" w:rsidRPr="006E16D9">
        <w:rPr>
          <w:rFonts w:ascii="宋体" w:eastAsia="宋体" w:hAnsi="宋体" w:cs="宋体"/>
          <w:color w:val="3C3C3C"/>
          <w:kern w:val="0"/>
          <w:sz w:val="24"/>
          <w:szCs w:val="24"/>
        </w:rPr>
        <w:fldChar w:fldCharType="end"/>
      </w:r>
      <w:bookmarkEnd w:id="2"/>
      <w:bookmarkEnd w:id="3"/>
      <w:bookmarkEnd w:id="4"/>
      <w:r w:rsidRPr="006E16D9">
        <w:rPr>
          <w:rFonts w:ascii="宋体" w:eastAsia="宋体" w:hAnsi="宋体" w:cs="宋体" w:hint="eastAsia"/>
          <w:color w:val="3C3C3C"/>
          <w:kern w:val="0"/>
          <w:sz w:val="24"/>
          <w:szCs w:val="24"/>
        </w:rPr>
        <w:t>等相关资料竞买人可以从广州公共资源交易网（</w:t>
      </w:r>
      <w:hyperlink r:id="rId9" w:history="1">
        <w:r w:rsidRPr="006E16D9">
          <w:rPr>
            <w:rFonts w:ascii="宋体" w:eastAsia="宋体" w:hAnsi="宋体" w:cs="宋体" w:hint="eastAsia"/>
            <w:kern w:val="0"/>
            <w:sz w:val="24"/>
            <w:szCs w:val="24"/>
          </w:rPr>
          <w:t>http://www.gzggzy.cn/</w:t>
        </w:r>
      </w:hyperlink>
      <w:r w:rsidRPr="006E16D9">
        <w:rPr>
          <w:rFonts w:ascii="宋体" w:eastAsia="宋体" w:hAnsi="宋体" w:cs="宋体" w:hint="eastAsia"/>
          <w:color w:val="3C3C3C"/>
          <w:kern w:val="0"/>
          <w:sz w:val="24"/>
          <w:szCs w:val="24"/>
        </w:rPr>
        <w:t>）服务指南栏目的办事指引中下载并认真阅读。</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三）竞买申请人应详尽了解本次出让宗地现状及所列条件，提交竞买申请视同对本次出让宗地的现状及所列条件无异议并全面接受，包括同意接受《竞买须知》的约束，违反有关条款的，将承担相应的法律责任。</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（四）本次挂牌出让不接受邮寄、电话、传真、电子邮件及口头竞买申请。</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lastRenderedPageBreak/>
        <w:t>（五）本次土地使用权网上交易在网上交易系统全封闭进行，实行资格审核后置；申请人网上申请时应按照系统提示上传申请材料。申请人必须保证网上上传及填写资料的真实性。</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（七）网上报价不可撤回。报价和竞价环节也可通过微信绑定广州土地矿业权网上交易新系统后进行，具体详见《</w:t>
      </w:r>
      <w:hyperlink r:id="rId10" w:history="1">
        <w:r w:rsidRPr="006E16D9">
          <w:rPr>
            <w:rFonts w:ascii="宋体" w:eastAsia="宋体" w:hAnsi="宋体" w:cs="宋体" w:hint="eastAsia"/>
            <w:kern w:val="0"/>
            <w:sz w:val="24"/>
            <w:szCs w:val="24"/>
          </w:rPr>
          <w:t>土地竞价移动端操作手册》</w:t>
        </w:r>
      </w:hyperlink>
      <w:r w:rsidRPr="006E16D9">
        <w:rPr>
          <w:rFonts w:ascii="宋体" w:eastAsia="宋体" w:hAnsi="宋体" w:cs="宋体" w:hint="eastAsia"/>
          <w:color w:val="3C3C3C"/>
          <w:kern w:val="0"/>
          <w:sz w:val="24"/>
          <w:szCs w:val="24"/>
        </w:rPr>
        <w:t>。</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（八）网上交易结束后，竞得人于2个工作日内持竞买申请时所提交的纸质文档及相关原件到广州公共资源交易中心进行资格确认，资格审核结果将在2019年12月16日前确认其竞得资格。</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（九）竞得人应在接到竞得资格确认通知之日起2个工作日内与广州公共资源交易中心签订《成交确认书》，并于签订《成交确认书》当日即时与我局签订《广州市国有建设用地使用权出让合同》。</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（十）有关出让宗地的详细资料及挂牌文件可于本公告发布之日起在广州公共资源交易网（www.gzggzy.cn）土地矿产专栏及我局网站的土地交易信息中浏览（网址：www.gzlpc.gov.cn）。</w:t>
      </w:r>
    </w:p>
    <w:p w:rsidR="006E16D9" w:rsidRPr="006E16D9" w:rsidRDefault="006E16D9" w:rsidP="006E16D9">
      <w:pPr>
        <w:widowControl/>
        <w:shd w:val="clear" w:color="auto" w:fill="FFFFFF"/>
        <w:spacing w:line="360" w:lineRule="auto"/>
        <w:jc w:val="left"/>
        <w:rPr>
          <w:rFonts w:ascii="？？" w:eastAsia="宋体" w:hAnsi="宋体" w:cs="宋体"/>
          <w:b/>
          <w:color w:val="333333"/>
          <w:kern w:val="0"/>
          <w:sz w:val="24"/>
          <w:szCs w:val="24"/>
        </w:rPr>
      </w:pPr>
      <w:r w:rsidRPr="006E16D9">
        <w:rPr>
          <w:rFonts w:ascii="宋体" w:eastAsia="宋体" w:hAnsi="宋体" w:cs="宋体" w:hint="eastAsia"/>
          <w:color w:val="3C3C3C"/>
          <w:kern w:val="0"/>
          <w:sz w:val="24"/>
          <w:szCs w:val="24"/>
        </w:rPr>
        <w:t xml:space="preserve">　　</w:t>
      </w:r>
      <w:r w:rsidRPr="006E16D9">
        <w:rPr>
          <w:rFonts w:ascii="宋体" w:eastAsia="宋体" w:hAnsi="宋体" w:cs="宋体" w:hint="eastAsia"/>
          <w:b/>
          <w:color w:val="333333"/>
          <w:kern w:val="0"/>
          <w:sz w:val="22"/>
        </w:rPr>
        <w:t>六、联系方式</w:t>
      </w:r>
    </w:p>
    <w:p w:rsidR="006E16D9" w:rsidRPr="006E16D9" w:rsidRDefault="006E16D9" w:rsidP="006E16D9">
      <w:pPr>
        <w:widowControl/>
        <w:shd w:val="clear" w:color="auto" w:fill="FFFFFF"/>
        <w:spacing w:line="360" w:lineRule="auto"/>
        <w:ind w:firstLineChars="150" w:firstLine="36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（一）出让方</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名称：广州市规划和自然资源局</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地址：广州市越秀区吉祥路80号</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 xml:space="preserve">联系人：张小姐，联系电话：（020）84647646 </w:t>
      </w:r>
    </w:p>
    <w:p w:rsidR="006E16D9" w:rsidRPr="006E16D9" w:rsidRDefault="006E16D9" w:rsidP="006E16D9">
      <w:pPr>
        <w:widowControl/>
        <w:shd w:val="clear" w:color="auto" w:fill="FFFFFF"/>
        <w:spacing w:line="360" w:lineRule="auto"/>
        <w:ind w:firstLineChars="150" w:firstLine="36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（二）交易机构</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名称：广州公共资源交易中心</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地址：广州市天河区天润路333号，邮编：510630</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对外办公时间：工作日8:30～12:00，14:00～17:30</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服务热线：</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 xml:space="preserve">1.业务咨询：（020）28866000 </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lastRenderedPageBreak/>
        <w:t>2.CA数字证书及电子签章：(020) 28866000</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3.项目联系人：车先生、杨小姐，联系电话：（020）28866180、28866047</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r w:rsidRPr="006E16D9">
        <w:rPr>
          <w:rFonts w:ascii="宋体" w:eastAsia="宋体" w:hAnsi="宋体" w:cs="宋体" w:hint="eastAsia"/>
          <w:color w:val="3C3C3C"/>
          <w:kern w:val="0"/>
          <w:sz w:val="24"/>
          <w:szCs w:val="24"/>
        </w:rPr>
        <w:t>4.网上交易系统技术支持电话：（020）28866000</w:t>
      </w:r>
    </w:p>
    <w:p w:rsidR="006E16D9" w:rsidRPr="006E16D9" w:rsidRDefault="006E16D9" w:rsidP="006E16D9">
      <w:pPr>
        <w:widowControl/>
        <w:shd w:val="clear" w:color="auto" w:fill="FFFFFF"/>
        <w:spacing w:line="360" w:lineRule="auto"/>
        <w:ind w:firstLineChars="200" w:firstLine="480"/>
        <w:jc w:val="left"/>
        <w:rPr>
          <w:rFonts w:ascii="宋体" w:eastAsia="宋体" w:hAnsi="宋体" w:cs="宋体"/>
          <w:color w:val="3C3C3C"/>
          <w:kern w:val="0"/>
          <w:sz w:val="24"/>
          <w:szCs w:val="24"/>
        </w:rPr>
      </w:pPr>
    </w:p>
    <w:p w:rsidR="006E16D9" w:rsidRPr="006E16D9" w:rsidRDefault="006E16D9" w:rsidP="006E16D9">
      <w:pPr>
        <w:widowControl/>
        <w:shd w:val="clear" w:color="auto" w:fill="FFFFFF"/>
        <w:spacing w:line="360" w:lineRule="auto"/>
        <w:ind w:firstLineChars="2000" w:firstLine="4800"/>
        <w:jc w:val="left"/>
        <w:rPr>
          <w:rFonts w:asciiTheme="minorEastAsia" w:hAnsiTheme="minorEastAsia" w:cs="宋体"/>
          <w:color w:val="3C3C3C"/>
          <w:kern w:val="0"/>
          <w:sz w:val="24"/>
          <w:szCs w:val="24"/>
        </w:rPr>
      </w:pPr>
      <w:r w:rsidRPr="006E16D9">
        <w:rPr>
          <w:rFonts w:asciiTheme="minorEastAsia" w:hAnsiTheme="minorEastAsia" w:cs="宋体" w:hint="eastAsia"/>
          <w:color w:val="3C3C3C"/>
          <w:kern w:val="0"/>
          <w:sz w:val="24"/>
          <w:szCs w:val="24"/>
        </w:rPr>
        <w:t>                                             广州市规划和自然资源局</w:t>
      </w:r>
    </w:p>
    <w:p w:rsidR="006E16D9" w:rsidRPr="006E16D9" w:rsidRDefault="006E16D9" w:rsidP="006E16D9">
      <w:pPr>
        <w:widowControl/>
        <w:shd w:val="clear" w:color="auto" w:fill="FFFFFF"/>
        <w:spacing w:line="360" w:lineRule="auto"/>
        <w:ind w:firstLineChars="2200" w:firstLine="5280"/>
        <w:jc w:val="left"/>
        <w:rPr>
          <w:rFonts w:asciiTheme="minorEastAsia" w:hAnsiTheme="minorEastAsia" w:cs="宋体"/>
          <w:color w:val="3C3C3C"/>
          <w:kern w:val="0"/>
          <w:sz w:val="24"/>
          <w:szCs w:val="24"/>
        </w:rPr>
      </w:pPr>
      <w:r w:rsidRPr="006E16D9">
        <w:rPr>
          <w:rFonts w:asciiTheme="minorEastAsia" w:hAnsiTheme="minorEastAsia" w:cs="宋体" w:hint="eastAsia"/>
          <w:color w:val="3C3C3C"/>
          <w:kern w:val="0"/>
          <w:sz w:val="24"/>
          <w:szCs w:val="24"/>
        </w:rPr>
        <w:t>                                               2019年11月4日</w:t>
      </w:r>
    </w:p>
    <w:p w:rsidR="006E16D9" w:rsidRPr="006E16D9" w:rsidRDefault="006E16D9" w:rsidP="006E16D9">
      <w:pPr>
        <w:widowControl/>
        <w:shd w:val="clear" w:color="auto" w:fill="FFFFFF"/>
        <w:jc w:val="left"/>
        <w:rPr>
          <w:rFonts w:ascii="ˎ̥" w:eastAsia="宋体" w:hAnsi="ˎ̥" w:cs="宋体" w:hint="eastAsia"/>
          <w:color w:val="3C3C3C"/>
          <w:kern w:val="0"/>
          <w:sz w:val="16"/>
          <w:szCs w:val="16"/>
        </w:rPr>
      </w:pPr>
      <w:r w:rsidRPr="006E16D9">
        <w:rPr>
          <w:rFonts w:ascii="ˎ̥" w:eastAsia="宋体" w:hAnsi="ˎ̥" w:cs="宋体"/>
          <w:color w:val="3C3C3C"/>
          <w:kern w:val="0"/>
          <w:sz w:val="16"/>
          <w:szCs w:val="16"/>
        </w:rPr>
        <w:t> </w:t>
      </w:r>
    </w:p>
    <w:p w:rsidR="006E16D9" w:rsidRPr="006E16D9" w:rsidRDefault="006E16D9" w:rsidP="006E16D9">
      <w:pPr>
        <w:widowControl/>
        <w:shd w:val="clear" w:color="auto" w:fill="FFFFFF"/>
        <w:jc w:val="left"/>
        <w:rPr>
          <w:rFonts w:ascii="ˎ̥" w:eastAsia="宋体" w:hAnsi="ˎ̥" w:cs="宋体" w:hint="eastAsia"/>
          <w:color w:val="3C3C3C"/>
          <w:kern w:val="0"/>
          <w:sz w:val="16"/>
          <w:szCs w:val="16"/>
        </w:rPr>
      </w:pPr>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r w:rsidRPr="006E16D9">
        <w:rPr>
          <w:rFonts w:ascii="ˎ̥" w:eastAsia="宋体" w:hAnsi="ˎ̥" w:cs="宋体"/>
          <w:color w:val="3C3C3C"/>
          <w:kern w:val="0"/>
          <w:sz w:val="25"/>
          <w:szCs w:val="25"/>
        </w:rPr>
        <w:t>附件</w:t>
      </w:r>
      <w:r w:rsidRPr="006E16D9">
        <w:rPr>
          <w:rFonts w:ascii="ˎ̥" w:eastAsia="宋体" w:hAnsi="ˎ̥" w:cs="宋体"/>
          <w:color w:val="3C3C3C"/>
          <w:kern w:val="0"/>
          <w:sz w:val="25"/>
          <w:szCs w:val="25"/>
        </w:rPr>
        <w:t>:</w:t>
      </w:r>
      <w:r w:rsidRPr="006E16D9">
        <w:rPr>
          <w:rFonts w:ascii="ˎ̥" w:eastAsia="宋体" w:hAnsi="ˎ̥" w:cs="宋体"/>
          <w:color w:val="3C3C3C"/>
          <w:kern w:val="0"/>
          <w:sz w:val="16"/>
          <w:szCs w:val="16"/>
        </w:rPr>
        <w:br/>
      </w:r>
      <w:r w:rsidRPr="006E16D9">
        <w:rPr>
          <w:rFonts w:ascii="ˎ̥" w:eastAsia="宋体" w:hAnsi="ˎ̥" w:cs="宋体"/>
          <w:color w:val="3C3C3C"/>
          <w:kern w:val="0"/>
          <w:sz w:val="25"/>
          <w:szCs w:val="25"/>
        </w:rPr>
        <w:t>1</w:t>
      </w:r>
      <w:r w:rsidRPr="006E16D9">
        <w:rPr>
          <w:rFonts w:ascii="ˎ̥" w:eastAsia="宋体" w:hAnsi="ˎ̥" w:cs="宋体"/>
          <w:color w:val="3C3C3C"/>
          <w:kern w:val="0"/>
          <w:sz w:val="25"/>
          <w:szCs w:val="25"/>
        </w:rPr>
        <w:t>、</w:t>
      </w:r>
      <w:hyperlink r:id="rId11" w:history="1">
        <w:r w:rsidRPr="006E16D9">
          <w:rPr>
            <w:rFonts w:ascii="ˎ̥" w:eastAsia="宋体" w:hAnsi="ˎ̥" w:cs="宋体"/>
            <w:color w:val="000000"/>
            <w:kern w:val="0"/>
            <w:sz w:val="25"/>
          </w:rPr>
          <w:t>出让合同（番禺易兴</w:t>
        </w:r>
        <w:r w:rsidRPr="006E16D9">
          <w:rPr>
            <w:rFonts w:ascii="ˎ̥" w:eastAsia="宋体" w:hAnsi="ˎ̥" w:cs="宋体"/>
            <w:color w:val="000000"/>
            <w:kern w:val="0"/>
            <w:sz w:val="25"/>
          </w:rPr>
          <w:t>DHJ15-01</w:t>
        </w:r>
        <w:r w:rsidRPr="006E16D9">
          <w:rPr>
            <w:rFonts w:ascii="ˎ̥" w:eastAsia="宋体" w:hAnsi="ˎ̥" w:cs="宋体"/>
            <w:color w:val="000000"/>
            <w:kern w:val="0"/>
            <w:sz w:val="25"/>
          </w:rPr>
          <w:t>地块）</w:t>
        </w:r>
        <w:r w:rsidRPr="006E16D9">
          <w:rPr>
            <w:rFonts w:ascii="ˎ̥" w:eastAsia="宋体" w:hAnsi="ˎ̥" w:cs="宋体"/>
            <w:color w:val="000000"/>
            <w:kern w:val="0"/>
            <w:sz w:val="25"/>
          </w:rPr>
          <w:t>.docx</w:t>
        </w:r>
      </w:hyperlink>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r w:rsidRPr="006E16D9">
        <w:rPr>
          <w:rFonts w:ascii="ˎ̥" w:eastAsia="宋体" w:hAnsi="ˎ̥" w:cs="宋体"/>
          <w:color w:val="3C3C3C"/>
          <w:kern w:val="0"/>
          <w:sz w:val="25"/>
          <w:szCs w:val="25"/>
        </w:rPr>
        <w:t>2</w:t>
      </w:r>
      <w:r w:rsidRPr="006E16D9">
        <w:rPr>
          <w:rFonts w:ascii="ˎ̥" w:eastAsia="宋体" w:hAnsi="ˎ̥" w:cs="宋体"/>
          <w:color w:val="3C3C3C"/>
          <w:kern w:val="0"/>
          <w:sz w:val="25"/>
          <w:szCs w:val="25"/>
        </w:rPr>
        <w:t>、</w:t>
      </w:r>
      <w:hyperlink r:id="rId12" w:history="1">
        <w:r w:rsidRPr="006E16D9">
          <w:rPr>
            <w:rFonts w:ascii="ˎ̥" w:eastAsia="宋体" w:hAnsi="ˎ̥" w:cs="宋体"/>
            <w:color w:val="000000"/>
            <w:kern w:val="0"/>
            <w:sz w:val="25"/>
          </w:rPr>
          <w:t>东环街易兴</w:t>
        </w:r>
        <w:r w:rsidRPr="006E16D9">
          <w:rPr>
            <w:rFonts w:ascii="ˎ̥" w:eastAsia="宋体" w:hAnsi="ˎ̥" w:cs="宋体"/>
            <w:color w:val="000000"/>
            <w:kern w:val="0"/>
            <w:sz w:val="25"/>
          </w:rPr>
          <w:t>DHJ15-01</w:t>
        </w:r>
        <w:r w:rsidRPr="006E16D9">
          <w:rPr>
            <w:rFonts w:ascii="ˎ̥" w:eastAsia="宋体" w:hAnsi="ˎ̥" w:cs="宋体"/>
            <w:color w:val="000000"/>
            <w:kern w:val="0"/>
            <w:sz w:val="25"/>
          </w:rPr>
          <w:t>地块规划条件</w:t>
        </w:r>
        <w:r w:rsidRPr="006E16D9">
          <w:rPr>
            <w:rFonts w:ascii="ˎ̥" w:eastAsia="宋体" w:hAnsi="ˎ̥" w:cs="宋体"/>
            <w:color w:val="000000"/>
            <w:kern w:val="0"/>
            <w:sz w:val="25"/>
          </w:rPr>
          <w:t>.pdf</w:t>
        </w:r>
      </w:hyperlink>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r w:rsidRPr="006E16D9">
        <w:rPr>
          <w:rFonts w:ascii="ˎ̥" w:eastAsia="宋体" w:hAnsi="ˎ̥" w:cs="宋体"/>
          <w:color w:val="3C3C3C"/>
          <w:kern w:val="0"/>
          <w:sz w:val="25"/>
          <w:szCs w:val="25"/>
        </w:rPr>
        <w:t>3</w:t>
      </w:r>
      <w:r w:rsidRPr="006E16D9">
        <w:rPr>
          <w:rFonts w:ascii="ˎ̥" w:eastAsia="宋体" w:hAnsi="ˎ̥" w:cs="宋体"/>
          <w:color w:val="3C3C3C"/>
          <w:kern w:val="0"/>
          <w:sz w:val="25"/>
          <w:szCs w:val="25"/>
        </w:rPr>
        <w:t>、</w:t>
      </w:r>
      <w:hyperlink r:id="rId13" w:history="1">
        <w:r w:rsidRPr="006E16D9">
          <w:rPr>
            <w:rFonts w:ascii="ˎ̥" w:eastAsia="宋体" w:hAnsi="ˎ̥" w:cs="宋体"/>
            <w:color w:val="000000"/>
            <w:kern w:val="0"/>
            <w:sz w:val="25"/>
          </w:rPr>
          <w:t>易兴地块</w:t>
        </w:r>
        <w:r w:rsidRPr="006E16D9">
          <w:rPr>
            <w:rFonts w:ascii="ˎ̥" w:eastAsia="宋体" w:hAnsi="ˎ̥" w:cs="宋体"/>
            <w:color w:val="000000"/>
            <w:kern w:val="0"/>
            <w:sz w:val="25"/>
          </w:rPr>
          <w:t>--</w:t>
        </w:r>
        <w:r w:rsidRPr="006E16D9">
          <w:rPr>
            <w:rFonts w:ascii="ˎ̥" w:eastAsia="宋体" w:hAnsi="ˎ̥" w:cs="宋体"/>
            <w:color w:val="000000"/>
            <w:kern w:val="0"/>
            <w:sz w:val="25"/>
          </w:rPr>
          <w:t>红线图</w:t>
        </w:r>
        <w:r w:rsidRPr="006E16D9">
          <w:rPr>
            <w:rFonts w:ascii="ˎ̥" w:eastAsia="宋体" w:hAnsi="ˎ̥" w:cs="宋体"/>
            <w:color w:val="000000"/>
            <w:kern w:val="0"/>
            <w:sz w:val="25"/>
          </w:rPr>
          <w:t>.pdf</w:t>
        </w:r>
      </w:hyperlink>
    </w:p>
    <w:p w:rsidR="006E16D9" w:rsidRPr="006E16D9" w:rsidRDefault="006E16D9" w:rsidP="006E16D9">
      <w:pPr>
        <w:widowControl/>
        <w:shd w:val="clear" w:color="auto" w:fill="FFFFFF"/>
        <w:spacing w:after="240"/>
        <w:jc w:val="left"/>
        <w:rPr>
          <w:rFonts w:ascii="ˎ̥" w:eastAsia="宋体" w:hAnsi="ˎ̥" w:cs="宋体" w:hint="eastAsia"/>
          <w:color w:val="3C3C3C"/>
          <w:kern w:val="0"/>
          <w:sz w:val="16"/>
          <w:szCs w:val="16"/>
        </w:rPr>
      </w:pPr>
      <w:r w:rsidRPr="006E16D9">
        <w:rPr>
          <w:rFonts w:ascii="ˎ̥" w:eastAsia="宋体" w:hAnsi="ˎ̥" w:cs="宋体"/>
          <w:color w:val="3C3C3C"/>
          <w:kern w:val="0"/>
          <w:sz w:val="16"/>
          <w:szCs w:val="16"/>
        </w:rPr>
        <w:br/>
      </w:r>
      <w:r w:rsidRPr="006E16D9">
        <w:rPr>
          <w:rFonts w:ascii="ˎ̥" w:eastAsia="宋体" w:hAnsi="ˎ̥" w:cs="宋体"/>
          <w:color w:val="3C3C3C"/>
          <w:kern w:val="0"/>
          <w:sz w:val="16"/>
          <w:szCs w:val="16"/>
        </w:rPr>
        <w:br/>
      </w:r>
    </w:p>
    <w:p w:rsidR="00E823C1" w:rsidRPr="00E823C1" w:rsidRDefault="00E823C1" w:rsidP="00E823C1">
      <w:pPr>
        <w:widowControl/>
        <w:shd w:val="clear" w:color="auto" w:fill="FFFFFF"/>
        <w:spacing w:line="560" w:lineRule="exact"/>
        <w:jc w:val="center"/>
        <w:rPr>
          <w:rFonts w:asciiTheme="majorEastAsia" w:eastAsiaTheme="majorEastAsia" w:hAnsiTheme="majorEastAsia" w:cs="宋体"/>
          <w:b/>
          <w:color w:val="3C3C3C"/>
          <w:kern w:val="0"/>
          <w:sz w:val="36"/>
          <w:szCs w:val="36"/>
        </w:rPr>
      </w:pPr>
      <w:r w:rsidRPr="00E823C1">
        <w:rPr>
          <w:rFonts w:asciiTheme="majorEastAsia" w:eastAsiaTheme="majorEastAsia" w:hAnsiTheme="majorEastAsia" w:cs="宋体" w:hint="eastAsia"/>
          <w:b/>
          <w:color w:val="3C3C3C"/>
          <w:kern w:val="0"/>
          <w:sz w:val="36"/>
          <w:szCs w:val="36"/>
        </w:rPr>
        <w:t>广州市规划和自然资源局国有土地使用权网上挂牌出让补充公告</w:t>
      </w:r>
    </w:p>
    <w:p w:rsidR="00E823C1" w:rsidRPr="00E823C1" w:rsidRDefault="00E823C1" w:rsidP="00E823C1">
      <w:pPr>
        <w:widowControl/>
        <w:shd w:val="clear" w:color="auto" w:fill="FFFFFF"/>
        <w:spacing w:line="560" w:lineRule="exact"/>
        <w:jc w:val="center"/>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穗规划资源挂出告字〔2019〕47-1号</w:t>
      </w:r>
    </w:p>
    <w:p w:rsidR="00E823C1" w:rsidRPr="00E823C1" w:rsidRDefault="00E823C1" w:rsidP="00E823C1">
      <w:pPr>
        <w:widowControl/>
        <w:shd w:val="clear" w:color="auto" w:fill="FFFFFF"/>
        <w:spacing w:line="560" w:lineRule="exact"/>
        <w:jc w:val="left"/>
        <w:rPr>
          <w:rFonts w:asciiTheme="minorEastAsia" w:hAnsiTheme="minorEastAsia" w:cs="宋体" w:hint="eastAsia"/>
          <w:color w:val="3C3C3C"/>
          <w:kern w:val="0"/>
          <w:sz w:val="24"/>
          <w:szCs w:val="24"/>
        </w:rPr>
      </w:pP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lastRenderedPageBreak/>
        <w:t>广州市规划和自然资源局于2019年11月4日发布了番禺区东环街易兴DHJ15-01地块的国有土地使用权网上挂牌出让公告（穗规划资源挂出告字〔2019〕47号），现补充公告如下：</w:t>
      </w:r>
    </w:p>
    <w:p w:rsidR="00E823C1" w:rsidRPr="00E823C1" w:rsidRDefault="00E823C1" w:rsidP="00E823C1">
      <w:pPr>
        <w:widowControl/>
        <w:shd w:val="clear" w:color="auto" w:fill="FFFFFF"/>
        <w:spacing w:line="360" w:lineRule="auto"/>
        <w:ind w:firstLineChars="200" w:firstLine="482"/>
        <w:jc w:val="left"/>
        <w:rPr>
          <w:rFonts w:asciiTheme="minorEastAsia" w:hAnsiTheme="minorEastAsia" w:cs="宋体" w:hint="eastAsia"/>
          <w:b/>
          <w:color w:val="3C3C3C"/>
          <w:kern w:val="0"/>
          <w:sz w:val="24"/>
          <w:szCs w:val="24"/>
        </w:rPr>
      </w:pPr>
      <w:r w:rsidRPr="00E823C1">
        <w:rPr>
          <w:rFonts w:asciiTheme="minorEastAsia" w:hAnsiTheme="minorEastAsia" w:cs="宋体" w:hint="eastAsia"/>
          <w:b/>
          <w:color w:val="3C3C3C"/>
          <w:kern w:val="0"/>
          <w:sz w:val="24"/>
          <w:szCs w:val="24"/>
        </w:rPr>
        <w:t>一、原公告第一条“需满足的其它出让条件”的第1点调整为：</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一范围内东北侧现有高压线路穿过，竞得人须按照相关政策法规要求，对高压线进行合理保护和利用，地块开发建设时需按供电部门意见协助下地改造处理，竞得人不得将供电线路的处理作为项目申请延期开发（包括开工、竣工等）的依据。</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地块一范围内东北侧现有高压线路下地改造工作由番禺区负责实施，改造费用无需竞得人承担。</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地块一范围内东北侧现有高压线路改造后的线位不占用该地块，但地块的竞得人需协助该高压线路改造过程中的进场放线等相关工作。</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该地块开发建设时点不受该高压线改造工作影响，该地块开发建设时按相关规范、供电部门意见退让现状已建高压线一定的水平安全距离。</w:t>
      </w:r>
    </w:p>
    <w:p w:rsidR="00E823C1" w:rsidRPr="00E823C1" w:rsidRDefault="00E823C1" w:rsidP="00E823C1">
      <w:pPr>
        <w:widowControl/>
        <w:shd w:val="clear" w:color="auto" w:fill="FFFFFF"/>
        <w:spacing w:line="360" w:lineRule="auto"/>
        <w:ind w:firstLineChars="200" w:firstLine="482"/>
        <w:jc w:val="left"/>
        <w:rPr>
          <w:rFonts w:asciiTheme="minorEastAsia" w:hAnsiTheme="minorEastAsia" w:cs="宋体" w:hint="eastAsia"/>
          <w:b/>
          <w:color w:val="3C3C3C"/>
          <w:kern w:val="0"/>
          <w:sz w:val="24"/>
          <w:szCs w:val="24"/>
        </w:rPr>
      </w:pPr>
      <w:r w:rsidRPr="00E823C1">
        <w:rPr>
          <w:rFonts w:asciiTheme="minorEastAsia" w:hAnsiTheme="minorEastAsia" w:cs="宋体" w:hint="eastAsia"/>
          <w:b/>
          <w:color w:val="3C3C3C"/>
          <w:kern w:val="0"/>
          <w:sz w:val="24"/>
          <w:szCs w:val="24"/>
        </w:rPr>
        <w:t>二、地块《国有建设用地使用权出让合同》第四十七条第二十七款调整为：</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本合同项下地块一范围内东北侧现有高压线路穿过，竞得人须按照相关政策法规要求，对高压线进行合理保护和利用，地块开发建设时需按供电部门意见协助下地改造处理，竞得人不得将供电线路的处理作为项目申请延期开发（包括开工、竣工等）的依据。</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地块一范围内东北侧现有高压线路下地改造工作由番禺区负责实施，改造费用无需受让人承担。</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地块一范围内东北侧现有高压线路改造后的线位不占用该地块，但地块的受让人需协助该高压线路改造过程中的进场放线等相关工作。</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地块开发建设时点不受该高压线改造工作影响，地块开发建设时按相关规范、供电部门意见退让现状已建高压线一定的水平安全距离。</w:t>
      </w:r>
    </w:p>
    <w:p w:rsidR="00E823C1" w:rsidRPr="00E823C1" w:rsidRDefault="00E823C1" w:rsidP="00E823C1">
      <w:pPr>
        <w:widowControl/>
        <w:shd w:val="clear" w:color="auto" w:fill="FFFFFF"/>
        <w:spacing w:line="360" w:lineRule="auto"/>
        <w:ind w:firstLineChars="200" w:firstLine="480"/>
        <w:jc w:val="left"/>
        <w:rPr>
          <w:rFonts w:asciiTheme="minorEastAsia" w:hAnsiTheme="minorEastAsia" w:cs="宋体" w:hint="eastAsia"/>
          <w:color w:val="3C3C3C"/>
          <w:kern w:val="0"/>
          <w:sz w:val="24"/>
          <w:szCs w:val="24"/>
        </w:rPr>
      </w:pPr>
    </w:p>
    <w:p w:rsidR="00E823C1" w:rsidRPr="00E823C1" w:rsidRDefault="00E823C1" w:rsidP="00E823C1">
      <w:pPr>
        <w:widowControl/>
        <w:shd w:val="clear" w:color="auto" w:fill="FFFFFF"/>
        <w:spacing w:line="360" w:lineRule="auto"/>
        <w:ind w:right="560" w:firstLineChars="1050" w:firstLine="2520"/>
        <w:jc w:val="left"/>
        <w:rPr>
          <w:rFonts w:asciiTheme="minorEastAsia" w:hAnsiTheme="minorEastAsia" w:cs="宋体" w:hint="eastAsia"/>
          <w:color w:val="3C3C3C"/>
          <w:kern w:val="0"/>
          <w:sz w:val="24"/>
          <w:szCs w:val="24"/>
        </w:rPr>
      </w:pPr>
    </w:p>
    <w:p w:rsidR="00E823C1" w:rsidRPr="00E823C1" w:rsidRDefault="00E823C1" w:rsidP="00E823C1">
      <w:pPr>
        <w:widowControl/>
        <w:shd w:val="clear" w:color="auto" w:fill="FFFFFF"/>
        <w:spacing w:line="360" w:lineRule="auto"/>
        <w:ind w:right="560" w:firstLineChars="1050" w:firstLine="2520"/>
        <w:jc w:val="left"/>
        <w:rPr>
          <w:rFonts w:asciiTheme="minorEastAsia" w:hAnsiTheme="minorEastAsia" w:cs="宋体" w:hint="eastAsia"/>
          <w:color w:val="3C3C3C"/>
          <w:kern w:val="0"/>
          <w:sz w:val="24"/>
          <w:szCs w:val="24"/>
        </w:rPr>
      </w:pPr>
    </w:p>
    <w:p w:rsidR="00E823C1" w:rsidRPr="00E823C1" w:rsidRDefault="00E823C1" w:rsidP="00E823C1">
      <w:pPr>
        <w:widowControl/>
        <w:shd w:val="clear" w:color="auto" w:fill="FFFFFF"/>
        <w:spacing w:line="360" w:lineRule="auto"/>
        <w:ind w:right="560" w:firstLineChars="1050" w:firstLine="2520"/>
        <w:jc w:val="righ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t>广州市规划和自然资源局</w:t>
      </w:r>
      <w:bookmarkStart w:id="5" w:name="_GoBack"/>
      <w:bookmarkEnd w:id="5"/>
    </w:p>
    <w:p w:rsidR="00E823C1" w:rsidRPr="00E823C1" w:rsidRDefault="00E823C1" w:rsidP="00E823C1">
      <w:pPr>
        <w:widowControl/>
        <w:shd w:val="clear" w:color="auto" w:fill="FFFFFF"/>
        <w:spacing w:line="360" w:lineRule="auto"/>
        <w:ind w:right="640" w:firstLineChars="1500" w:firstLine="3600"/>
        <w:jc w:val="right"/>
        <w:rPr>
          <w:rFonts w:asciiTheme="minorEastAsia" w:hAnsiTheme="minorEastAsia" w:cs="宋体" w:hint="eastAsia"/>
          <w:color w:val="3C3C3C"/>
          <w:kern w:val="0"/>
          <w:sz w:val="24"/>
          <w:szCs w:val="24"/>
        </w:rPr>
      </w:pPr>
      <w:r w:rsidRPr="00E823C1">
        <w:rPr>
          <w:rFonts w:asciiTheme="minorEastAsia" w:hAnsiTheme="minorEastAsia" w:cs="宋体" w:hint="eastAsia"/>
          <w:color w:val="3C3C3C"/>
          <w:kern w:val="0"/>
          <w:sz w:val="24"/>
          <w:szCs w:val="24"/>
        </w:rPr>
        <w:lastRenderedPageBreak/>
        <w:t>2019年11月14日</w:t>
      </w:r>
    </w:p>
    <w:p w:rsidR="00DC4BA7" w:rsidRPr="00E823C1" w:rsidRDefault="00DC4BA7"/>
    <w:sectPr w:rsidR="00DC4BA7" w:rsidRPr="00E823C1" w:rsidSect="000F40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E5" w:rsidRDefault="00D15DE5" w:rsidP="006E16D9">
      <w:r>
        <w:separator/>
      </w:r>
    </w:p>
  </w:endnote>
  <w:endnote w:type="continuationSeparator" w:id="1">
    <w:p w:rsidR="00D15DE5" w:rsidRDefault="00D15DE5" w:rsidP="006E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0000000000000000000"/>
    <w:charset w:val="86"/>
    <w:family w:val="roman"/>
    <w:notTrueType/>
    <w:pitch w:val="default"/>
    <w:sig w:usb0="00000001" w:usb1="080E0000" w:usb2="00000010" w:usb3="00000000" w:csb0="00040000" w:csb1="00000000"/>
  </w:font>
  <w:font w:name="？？">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E5" w:rsidRDefault="00D15DE5" w:rsidP="006E16D9">
      <w:r>
        <w:separator/>
      </w:r>
    </w:p>
  </w:footnote>
  <w:footnote w:type="continuationSeparator" w:id="1">
    <w:p w:rsidR="00D15DE5" w:rsidRDefault="00D15DE5" w:rsidP="006E1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6D9"/>
    <w:rsid w:val="000F406F"/>
    <w:rsid w:val="006E16D9"/>
    <w:rsid w:val="00D15DE5"/>
    <w:rsid w:val="00DC4BA7"/>
    <w:rsid w:val="00E82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6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6D9"/>
    <w:rPr>
      <w:sz w:val="18"/>
      <w:szCs w:val="18"/>
    </w:rPr>
  </w:style>
  <w:style w:type="paragraph" w:styleId="a4">
    <w:name w:val="footer"/>
    <w:basedOn w:val="a"/>
    <w:link w:val="Char0"/>
    <w:uiPriority w:val="99"/>
    <w:semiHidden/>
    <w:unhideWhenUsed/>
    <w:rsid w:val="006E16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16D9"/>
    <w:rPr>
      <w:sz w:val="18"/>
      <w:szCs w:val="18"/>
    </w:rPr>
  </w:style>
  <w:style w:type="character" w:styleId="a5">
    <w:name w:val="Hyperlink"/>
    <w:basedOn w:val="a0"/>
    <w:uiPriority w:val="99"/>
    <w:semiHidden/>
    <w:unhideWhenUsed/>
    <w:rsid w:val="006E16D9"/>
    <w:rPr>
      <w:strike w:val="0"/>
      <w:dstrike w:val="0"/>
      <w:color w:val="000000"/>
      <w:u w:val="none"/>
      <w:effect w:val="none"/>
    </w:rPr>
  </w:style>
  <w:style w:type="paragraph" w:styleId="a6">
    <w:name w:val="Normal (Web)"/>
    <w:basedOn w:val="a"/>
    <w:uiPriority w:val="99"/>
    <w:semiHidden/>
    <w:unhideWhenUsed/>
    <w:rsid w:val="006E16D9"/>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5178314">
      <w:bodyDiv w:val="1"/>
      <w:marLeft w:val="0"/>
      <w:marRight w:val="0"/>
      <w:marTop w:val="0"/>
      <w:marBottom w:val="0"/>
      <w:divBdr>
        <w:top w:val="none" w:sz="0" w:space="0" w:color="auto"/>
        <w:left w:val="none" w:sz="0" w:space="0" w:color="auto"/>
        <w:bottom w:val="none" w:sz="0" w:space="0" w:color="auto"/>
        <w:right w:val="none" w:sz="0" w:space="0" w:color="auto"/>
      </w:divBdr>
      <w:divsChild>
        <w:div w:id="801730759">
          <w:marLeft w:val="0"/>
          <w:marRight w:val="0"/>
          <w:marTop w:val="0"/>
          <w:marBottom w:val="0"/>
          <w:divBdr>
            <w:top w:val="none" w:sz="0" w:space="0" w:color="auto"/>
            <w:left w:val="none" w:sz="0" w:space="0" w:color="auto"/>
            <w:bottom w:val="none" w:sz="0" w:space="0" w:color="auto"/>
            <w:right w:val="none" w:sz="0" w:space="0" w:color="auto"/>
          </w:divBdr>
          <w:divsChild>
            <w:div w:id="2121223425">
              <w:marLeft w:val="0"/>
              <w:marRight w:val="0"/>
              <w:marTop w:val="0"/>
              <w:marBottom w:val="0"/>
              <w:divBdr>
                <w:top w:val="single" w:sz="6" w:space="14" w:color="AAE5EB"/>
                <w:left w:val="single" w:sz="6" w:space="14" w:color="AAE5EB"/>
                <w:bottom w:val="single" w:sz="6" w:space="14" w:color="AAE5EB"/>
                <w:right w:val="single" w:sz="6" w:space="14" w:color="AAE5EB"/>
              </w:divBdr>
              <w:divsChild>
                <w:div w:id="3613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9665">
      <w:bodyDiv w:val="1"/>
      <w:marLeft w:val="0"/>
      <w:marRight w:val="0"/>
      <w:marTop w:val="0"/>
      <w:marBottom w:val="0"/>
      <w:divBdr>
        <w:top w:val="none" w:sz="0" w:space="0" w:color="auto"/>
        <w:left w:val="none" w:sz="0" w:space="0" w:color="auto"/>
        <w:bottom w:val="none" w:sz="0" w:space="0" w:color="auto"/>
        <w:right w:val="none" w:sz="0" w:space="0" w:color="auto"/>
      </w:divBdr>
      <w:divsChild>
        <w:div w:id="1170950845">
          <w:marLeft w:val="0"/>
          <w:marRight w:val="0"/>
          <w:marTop w:val="0"/>
          <w:marBottom w:val="0"/>
          <w:divBdr>
            <w:top w:val="none" w:sz="0" w:space="0" w:color="auto"/>
            <w:left w:val="none" w:sz="0" w:space="0" w:color="auto"/>
            <w:bottom w:val="none" w:sz="0" w:space="0" w:color="auto"/>
            <w:right w:val="none" w:sz="0" w:space="0" w:color="auto"/>
          </w:divBdr>
          <w:divsChild>
            <w:div w:id="1401977880">
              <w:marLeft w:val="0"/>
              <w:marRight w:val="0"/>
              <w:marTop w:val="0"/>
              <w:marBottom w:val="0"/>
              <w:divBdr>
                <w:top w:val="single" w:sz="6" w:space="14" w:color="AAE5EB"/>
                <w:left w:val="single" w:sz="6" w:space="14" w:color="AAE5EB"/>
                <w:bottom w:val="single" w:sz="6" w:space="14" w:color="AAE5EB"/>
                <w:right w:val="single" w:sz="6" w:space="14" w:color="AAE5EB"/>
              </w:divBdr>
              <w:divsChild>
                <w:div w:id="11608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ggzy.cn/cms/wz/view/index/layout3/index.jsp?siteId=1&amp;infoId=519669&amp;channelId=49" TargetMode="External"/><Relationship Id="rId13" Type="http://schemas.openxmlformats.org/officeDocument/2006/relationships/hyperlink" Target="http://tkjy.gzggzy.cn:81/2019/11/%BD%BB%D2%D7%C6%BD%CC%A8/%B9%FA%CD%C1%BD%BB%D2%D7/%D2%D7%D0%CB%B5%D8%BF%E9--%BA%EC%CF%DF%CD%BC_chejin_1572828733174.pdf" TargetMode="External"/><Relationship Id="rId3" Type="http://schemas.openxmlformats.org/officeDocument/2006/relationships/webSettings" Target="webSettings.xml"/><Relationship Id="rId7" Type="http://schemas.openxmlformats.org/officeDocument/2006/relationships/hyperlink" Target="http://www.gzggzy.cn/cms/wz/view/index/layout3/index.jsp?siteId=1&amp;infoId=406053&amp;channelId=712" TargetMode="External"/><Relationship Id="rId12" Type="http://schemas.openxmlformats.org/officeDocument/2006/relationships/hyperlink" Target="http://tkjy.gzggzy.cn:81/2019/11/%BD%BB%D2%D7%C6%BD%CC%A8/%B9%FA%CD%C1%BD%BB%D2%D7/%B6%AB%BB%B7%BD%D6%D2%D7%D0%CBDHJ15-01%B5%D8%BF%E9%B9%E6%BB%AE%CC%F5%BC%FE_chejin_157282872653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kjy.gzggzy.cn/SignOnServlet" TargetMode="External"/><Relationship Id="rId11" Type="http://schemas.openxmlformats.org/officeDocument/2006/relationships/hyperlink" Target="http://tkjy.gzggzy.cn:81/2019/11/%BD%BB%D2%D7%C6%BD%CC%A8/%B9%FA%CD%C1%BD%BB%D2%D7/%B3%F6%C8%C3%BA%CF%CD%AC%A3%A8%B7%AC%D8%AE%D2%D7%D0%CBDHJ15-01%B5%D8%BF%E9%A3%A9_chejin_1572828714439.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zggzy.cn/cms/wz/view/index/layout3/index.jsp?siteId=1&amp;infoId=548316&amp;channelId=40" TargetMode="External"/><Relationship Id="rId4" Type="http://schemas.openxmlformats.org/officeDocument/2006/relationships/footnotes" Target="footnotes.xml"/><Relationship Id="rId9" Type="http://schemas.openxmlformats.org/officeDocument/2006/relationships/hyperlink" Target="http://www.gzggzy.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786</Words>
  <Characters>4483</Characters>
  <Application>Microsoft Office Word</Application>
  <DocSecurity>0</DocSecurity>
  <Lines>37</Lines>
  <Paragraphs>10</Paragraphs>
  <ScaleCrop>false</ScaleCrop>
  <Company>Sky123.Org</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2019-11-04T02:09:00Z</dcterms:created>
  <dcterms:modified xsi:type="dcterms:W3CDTF">2019-11-14T09:10:00Z</dcterms:modified>
</cp:coreProperties>
</file>