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Fonts w:ascii="黑体" w:hAnsi="宋体" w:eastAsia="黑体" w:cs="黑体"/>
          <w:b/>
          <w:i w:val="0"/>
          <w:caps w:val="0"/>
          <w:color w:val="676767"/>
          <w:spacing w:val="0"/>
          <w:kern w:val="0"/>
          <w:sz w:val="36"/>
          <w:szCs w:val="36"/>
          <w:shd w:val="clear" w:fill="FFFFFF"/>
          <w:lang w:val="en-US" w:eastAsia="zh-CN" w:bidi="ar"/>
        </w:rPr>
        <w:t>上海市国有建设用地使用权挂牌出让公告</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Style w:val="11"/>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（2019）第</w:t>
      </w:r>
      <w:bookmarkStart w:id="0" w:name="tdscWebOfficeNoticeStat_newNoticeNo"/>
      <w:r>
        <w:rPr>
          <w:rFonts w:hint="default" w:ascii="仿宋_GB2312" w:hAnsi="宋体" w:eastAsia="仿宋_GB2312" w:cs="仿宋_GB2312"/>
          <w:b/>
          <w:i w:val="0"/>
          <w:caps w:val="0"/>
          <w:color w:val="636363"/>
          <w:spacing w:val="0"/>
          <w:kern w:val="0"/>
          <w:sz w:val="30"/>
          <w:szCs w:val="30"/>
          <w:u w:val="none"/>
          <w:shd w:val="clear" w:fill="FFFFFF"/>
          <w:lang w:val="en-US" w:eastAsia="zh-CN" w:bidi="ar"/>
        </w:rPr>
        <w:t>184</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根据国家有关法律、法规和《招标拍卖挂牌出让国有建设用地使用权规定》、《上海市土地使用权出让办法》等规定，现发布挂牌出让涉及</w:t>
      </w:r>
      <w:bookmarkStart w:id="1" w:name="tdscWebOfficeNoticeStat_districtList_1"/>
      <w:r>
        <w:rPr>
          <w:rFonts w:hint="default" w:ascii="仿宋_GB2312" w:hAnsi="宋体" w:eastAsia="仿宋_GB2312" w:cs="仿宋_GB2312"/>
          <w:i w:val="0"/>
          <w:caps w:val="0"/>
          <w:color w:val="636363"/>
          <w:spacing w:val="0"/>
          <w:kern w:val="0"/>
          <w:sz w:val="28"/>
          <w:szCs w:val="28"/>
          <w:u w:val="none"/>
          <w:shd w:val="clear" w:fill="FFFFFF"/>
          <w:lang w:val="en-US" w:eastAsia="zh-CN" w:bidi="ar"/>
        </w:rPr>
        <w:t>浦东新区</w:t>
      </w:r>
      <w:bookmarkEnd w:id="1"/>
      <w:r>
        <w:rPr>
          <w:rFonts w:hint="default" w:ascii="仿宋_GB2312" w:hAnsi="宋体" w:eastAsia="仿宋_GB2312" w:cs="仿宋_GB2312"/>
          <w:i w:val="0"/>
          <w:caps w:val="0"/>
          <w:color w:val="676767"/>
          <w:spacing w:val="0"/>
          <w:kern w:val="0"/>
          <w:sz w:val="28"/>
          <w:szCs w:val="28"/>
          <w:shd w:val="clear" w:fill="FFFFFF"/>
          <w:lang w:val="en-US" w:eastAsia="zh-CN" w:bidi="ar"/>
        </w:rPr>
        <w:t> </w:t>
      </w:r>
      <w:bookmarkStart w:id="2" w:name="tdscWebOfficeNoticeStat_district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2"/>
      <w:r>
        <w:rPr>
          <w:rFonts w:hint="default" w:ascii="仿宋_GB2312" w:hAnsi="宋体" w:eastAsia="仿宋_GB2312" w:cs="仿宋_GB2312"/>
          <w:i w:val="0"/>
          <w:caps w:val="0"/>
          <w:color w:val="000000"/>
          <w:spacing w:val="0"/>
          <w:kern w:val="0"/>
          <w:sz w:val="28"/>
          <w:szCs w:val="28"/>
          <w:shd w:val="clear" w:fill="FFFFFF"/>
          <w:lang w:val="en-US" w:eastAsia="zh-CN" w:bidi="ar"/>
        </w:rPr>
        <w:t>个地区共计</w:t>
      </w:r>
      <w:bookmarkStart w:id="3"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2</w:t>
      </w:r>
      <w:bookmarkEnd w:id="3"/>
      <w:r>
        <w:rPr>
          <w:rFonts w:hint="default" w:ascii="仿宋_GB2312" w:hAnsi="宋体" w:eastAsia="仿宋_GB2312" w:cs="仿宋_GB2312"/>
          <w:i w:val="0"/>
          <w:caps w:val="0"/>
          <w:color w:val="000000"/>
          <w:spacing w:val="0"/>
          <w:kern w:val="0"/>
          <w:sz w:val="28"/>
          <w:szCs w:val="28"/>
          <w:shd w:val="clear" w:fill="FFFFFF"/>
          <w:lang w:val="en-US" w:eastAsia="zh-CN" w:bidi="ar"/>
        </w:rPr>
        <w:t>幅</w:t>
      </w:r>
      <w:r>
        <w:rPr>
          <w:rFonts w:hint="default" w:ascii="仿宋_GB2312" w:hAnsi="宋体" w:eastAsia="仿宋_GB2312" w:cs="仿宋_GB2312"/>
          <w:i w:val="0"/>
          <w:caps w:val="0"/>
          <w:color w:val="676767"/>
          <w:spacing w:val="0"/>
          <w:kern w:val="0"/>
          <w:sz w:val="28"/>
          <w:szCs w:val="28"/>
          <w:shd w:val="clear" w:fill="FFFFFF"/>
          <w:lang w:val="en-US" w:eastAsia="zh-CN" w:bidi="ar"/>
        </w:rPr>
        <w:t>国有建设用地使用权的公告。现将有关情况公告如下：</w:t>
      </w:r>
    </w:p>
    <w:p>
      <w:pPr>
        <w:keepNext w:val="0"/>
        <w:keepLines w:val="0"/>
        <w:widowControl/>
        <w:suppressLineNumbers w:val="0"/>
        <w:shd w:val="clear" w:fill="FFFFFF"/>
        <w:spacing w:before="0" w:beforeAutospacing="0" w:after="0" w:afterAutospacing="0" w:line="315" w:lineRule="atLeast"/>
        <w:ind w:left="1280" w:right="0" w:hanging="72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2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75"/>
        <w:gridCol w:w="1626"/>
        <w:gridCol w:w="2206"/>
        <w:gridCol w:w="1066"/>
        <w:gridCol w:w="1251"/>
        <w:gridCol w:w="1251"/>
        <w:gridCol w:w="1390"/>
        <w:gridCol w:w="1255"/>
        <w:gridCol w:w="13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公告号</w:t>
            </w:r>
          </w:p>
        </w:tc>
        <w:tc>
          <w:tcPr>
            <w:tcW w:w="137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名称</w:t>
            </w:r>
          </w:p>
        </w:tc>
        <w:tc>
          <w:tcPr>
            <w:tcW w:w="186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范围</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用途</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土地总</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47"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出让</w:t>
            </w:r>
          </w:p>
          <w:p>
            <w:pPr>
              <w:keepNext w:val="0"/>
              <w:keepLines w:val="0"/>
              <w:widowControl/>
              <w:suppressLineNumbers w:val="0"/>
              <w:spacing w:before="0" w:beforeAutospacing="0" w:after="0" w:afterAutospacing="0"/>
              <w:ind w:left="-107" w:right="0"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223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要求</w:t>
            </w:r>
          </w:p>
        </w:tc>
        <w:tc>
          <w:tcPr>
            <w:tcW w:w="116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28" w:hRule="atLeast"/>
          <w:jc w:val="center"/>
        </w:trPr>
        <w:tc>
          <w:tcPr>
            <w:tcW w:w="9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86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率</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密度</w:t>
            </w:r>
          </w:p>
        </w:tc>
        <w:tc>
          <w:tcPr>
            <w:tcW w:w="116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bookmarkStart w:id="4" w:name="tdscBlockAppView__list"/>
            <w:r>
              <w:rPr>
                <w:rFonts w:hint="default" w:ascii="仿宋_GB2312" w:hAnsi="宋体" w:eastAsia="仿宋_GB2312" w:cs="仿宋_GB2312"/>
                <w:color w:val="636363"/>
                <w:kern w:val="0"/>
                <w:sz w:val="21"/>
                <w:szCs w:val="21"/>
                <w:u w:val="none"/>
                <w:lang w:val="en-US" w:eastAsia="zh-CN" w:bidi="ar"/>
              </w:rPr>
              <w:t>201918401</w:t>
            </w:r>
            <w:bookmarkEnd w:id="4"/>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浦东新区</w:t>
            </w:r>
            <w:r>
              <w:rPr>
                <w:rStyle w:val="11"/>
                <w:rFonts w:hint="default" w:ascii="仿宋_GB2312" w:hAnsi="宋体" w:eastAsia="仿宋_GB2312" w:cs="仿宋_GB2312"/>
                <w:color w:val="676767"/>
                <w:kern w:val="0"/>
                <w:sz w:val="21"/>
                <w:szCs w:val="21"/>
                <w:lang w:val="en-US" w:eastAsia="zh-CN" w:bidi="ar"/>
              </w:rPr>
              <w:t>三林环外</w:t>
            </w:r>
            <w:r>
              <w:rPr>
                <w:rFonts w:hint="default" w:ascii="仿宋_GB2312" w:hAnsi="宋体" w:eastAsia="仿宋_GB2312" w:cs="仿宋_GB2312"/>
                <w:color w:val="676767"/>
                <w:kern w:val="0"/>
                <w:sz w:val="21"/>
                <w:szCs w:val="21"/>
                <w:lang w:val="en-US" w:eastAsia="zh-CN" w:bidi="ar"/>
              </w:rPr>
              <w:t>区域PDP0-0901单元13-02地块</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东至:地块边界（镇界）,南至:地块边界（镇界）,西至:0901-13-01地块（东明路绿化带）,北至:地块边界（镇界）（地块四至范围应</w:t>
            </w:r>
            <w:r>
              <w:rPr>
                <w:rStyle w:val="11"/>
                <w:rFonts w:hint="default" w:ascii="仿宋_GB2312" w:hAnsi="宋体" w:eastAsia="仿宋_GB2312" w:cs="仿宋_GB2312"/>
                <w:color w:val="676767"/>
                <w:kern w:val="0"/>
                <w:sz w:val="21"/>
                <w:szCs w:val="21"/>
                <w:lang w:val="en-US" w:eastAsia="zh-CN" w:bidi="ar"/>
              </w:rPr>
              <w:t>以附图红</w:t>
            </w:r>
            <w:r>
              <w:rPr>
                <w:rFonts w:hint="default" w:ascii="仿宋_GB2312" w:hAnsi="宋体" w:eastAsia="仿宋_GB2312" w:cs="仿宋_GB2312"/>
                <w:color w:val="676767"/>
                <w:kern w:val="0"/>
                <w:sz w:val="21"/>
                <w:szCs w:val="21"/>
                <w:lang w:val="en-US" w:eastAsia="zh-CN" w:bidi="ar"/>
              </w:rPr>
              <w:t>线为准）</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动迁安置房</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33443.30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33443.30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2.5</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7,240.00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201918402</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浦东新区</w:t>
            </w:r>
            <w:r>
              <w:rPr>
                <w:rStyle w:val="11"/>
                <w:rFonts w:hint="default" w:ascii="仿宋_GB2312" w:hAnsi="宋体" w:eastAsia="仿宋_GB2312" w:cs="仿宋_GB2312"/>
                <w:color w:val="676767"/>
                <w:kern w:val="0"/>
                <w:sz w:val="21"/>
                <w:szCs w:val="21"/>
                <w:lang w:val="en-US" w:eastAsia="zh-CN" w:bidi="ar"/>
              </w:rPr>
              <w:t>三林环外</w:t>
            </w:r>
            <w:r>
              <w:rPr>
                <w:rFonts w:hint="default" w:ascii="仿宋_GB2312" w:hAnsi="宋体" w:eastAsia="仿宋_GB2312" w:cs="仿宋_GB2312"/>
                <w:color w:val="676767"/>
                <w:kern w:val="0"/>
                <w:sz w:val="21"/>
                <w:szCs w:val="21"/>
                <w:lang w:val="en-US" w:eastAsia="zh-CN" w:bidi="ar"/>
              </w:rPr>
              <w:t>区域PDP0-0901单元14-03地块</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东至:0901-14-01地块（上南路绿化带）,南至:新中心支河,西至:0901-14-01地块（东明路绿化带）,北至:0901-14-01地块（上南路绿化带）（地块四至范围应</w:t>
            </w:r>
            <w:r>
              <w:rPr>
                <w:rStyle w:val="11"/>
                <w:rFonts w:hint="default" w:ascii="仿宋_GB2312" w:hAnsi="宋体" w:eastAsia="仿宋_GB2312" w:cs="仿宋_GB2312"/>
                <w:color w:val="676767"/>
                <w:kern w:val="0"/>
                <w:sz w:val="21"/>
                <w:szCs w:val="21"/>
                <w:lang w:val="en-US" w:eastAsia="zh-CN" w:bidi="ar"/>
              </w:rPr>
              <w:t>以附图红</w:t>
            </w:r>
            <w:r>
              <w:rPr>
                <w:rFonts w:hint="default" w:ascii="仿宋_GB2312" w:hAnsi="宋体" w:eastAsia="仿宋_GB2312" w:cs="仿宋_GB2312"/>
                <w:color w:val="676767"/>
                <w:kern w:val="0"/>
                <w:sz w:val="21"/>
                <w:szCs w:val="21"/>
                <w:lang w:val="en-US" w:eastAsia="zh-CN" w:bidi="ar"/>
              </w:rPr>
              <w:t>线为准）</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动迁安置房</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12438.60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12438.60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2.5</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2,693.00</w:t>
            </w:r>
          </w:p>
        </w:tc>
      </w:tr>
    </w:tbl>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三、竞买资格及具体交易要求</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本次国有建设用地使用权挂牌出让的竞买资格和地块详情及其具体交易要求详见地块出让文件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w:t>
      </w:r>
      <w:r>
        <w:rPr>
          <w:rStyle w:val="11"/>
          <w:rFonts w:hint="default" w:ascii="仿宋_GB2312" w:hAnsi="宋体" w:eastAsia="仿宋_GB2312" w:cs="仿宋_GB2312"/>
          <w:i w:val="0"/>
          <w:caps w:val="0"/>
          <w:color w:val="676767"/>
          <w:spacing w:val="0"/>
          <w:kern w:val="0"/>
          <w:sz w:val="28"/>
          <w:szCs w:val="28"/>
          <w:shd w:val="clear" w:fill="FFFFFF"/>
          <w:lang w:val="en-US" w:eastAsia="zh-CN" w:bidi="ar"/>
        </w:rPr>
        <w:t>预合同</w:t>
      </w:r>
      <w:r>
        <w:rPr>
          <w:rFonts w:hint="default" w:ascii="仿宋_GB2312" w:hAnsi="宋体" w:eastAsia="仿宋_GB2312" w:cs="仿宋_GB2312"/>
          <w:i w:val="0"/>
          <w:caps w:val="0"/>
          <w:color w:val="676767"/>
          <w:spacing w:val="0"/>
          <w:kern w:val="0"/>
          <w:sz w:val="28"/>
          <w:szCs w:val="28"/>
          <w:shd w:val="clear" w:fill="FFFFFF"/>
          <w:lang w:val="en-US" w:eastAsia="zh-CN" w:bidi="ar"/>
        </w:rPr>
        <w:t>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5"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2019</w:t>
      </w:r>
      <w:bookmarkEnd w:id="5"/>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09</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挂牌交易结束后10个工作日内，上述地块的交易结果将在市土地交易市场、各区土地交易受理窗口和http://ghzyj.sh.gov.cn/网站、http://www.shtdsc.com网站发布。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五、联系方式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hd w:val="clear" w:fill="FFFFFF"/>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6" w:name="tdscWebOfficeNoticeStat_noticeDate"/>
      <w:r>
        <w:rPr>
          <w:rFonts w:hint="default" w:ascii="仿宋_GB2312" w:hAnsi="宋体" w:eastAsia="仿宋_GB2312" w:cs="仿宋_GB2312"/>
          <w:b/>
          <w:i w:val="0"/>
          <w:caps w:val="0"/>
          <w:color w:val="000000"/>
          <w:spacing w:val="0"/>
          <w:kern w:val="0"/>
          <w:sz w:val="28"/>
          <w:szCs w:val="28"/>
          <w:u w:val="none"/>
          <w:shd w:val="clear" w:fill="FFFFFF"/>
          <w:lang w:val="en-US" w:eastAsia="zh-CN" w:bidi="ar"/>
        </w:rPr>
        <w:t>2019</w:t>
      </w:r>
      <w:bookmarkEnd w:id="6"/>
      <w:r>
        <w:rPr>
          <w:rFonts w:hint="default" w:ascii="仿宋_GB2312" w:hAnsi="宋体" w:eastAsia="仿宋_GB2312" w:cs="仿宋_GB2312"/>
          <w:b/>
          <w:i w:val="0"/>
          <w:caps w:val="0"/>
          <w:color w:val="000000"/>
          <w:spacing w:val="0"/>
          <w:kern w:val="0"/>
          <w:sz w:val="28"/>
          <w:szCs w:val="28"/>
          <w:shd w:val="clear" w:fill="FFFFFF"/>
          <w:lang w:val="en-US" w:eastAsia="zh-CN" w:bidi="ar"/>
        </w:rPr>
        <w:t>年11月09日</w:t>
      </w:r>
    </w:p>
    <w:p>
      <w:pPr>
        <w:keepNext w:val="0"/>
        <w:keepLines w:val="0"/>
        <w:widowControl/>
        <w:suppressLineNumbers w:val="0"/>
        <w:shd w:val="clear" w:fill="FFFFFF"/>
        <w:spacing w:before="0" w:beforeAutospacing="0" w:after="0" w:afterAutospacing="0" w:line="315" w:lineRule="atLeast"/>
        <w:ind w:left="0" w:right="0" w:firstLine="0"/>
        <w:jc w:val="right"/>
        <w:rPr>
          <w:rFonts w:hint="eastAsia" w:ascii="宋体" w:hAnsi="宋体" w:eastAsia="宋体" w:cs="宋体"/>
          <w:i w:val="0"/>
          <w:caps w:val="0"/>
          <w:color w:val="676767"/>
          <w:spacing w:val="0"/>
          <w:sz w:val="21"/>
          <w:szCs w:val="21"/>
        </w:rPr>
      </w:pPr>
      <w:bookmarkStart w:id="7" w:name="_GoBack"/>
      <w:bookmarkEnd w:id="7"/>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 w:val="03204659"/>
    <w:rsid w:val="034F7063"/>
    <w:rsid w:val="0DEC6B19"/>
    <w:rsid w:val="1B416A3E"/>
    <w:rsid w:val="1E6977F8"/>
    <w:rsid w:val="1EDB6FD1"/>
    <w:rsid w:val="1F1C7F51"/>
    <w:rsid w:val="20F75A73"/>
    <w:rsid w:val="24247471"/>
    <w:rsid w:val="28336F99"/>
    <w:rsid w:val="29264563"/>
    <w:rsid w:val="2B6558BE"/>
    <w:rsid w:val="365676DA"/>
    <w:rsid w:val="38E16072"/>
    <w:rsid w:val="42C94C59"/>
    <w:rsid w:val="4737129B"/>
    <w:rsid w:val="526C7992"/>
    <w:rsid w:val="56EE6600"/>
    <w:rsid w:val="617237CE"/>
    <w:rsid w:val="617A1EF7"/>
    <w:rsid w:val="7362263D"/>
    <w:rsid w:val="738B6A52"/>
    <w:rsid w:val="74E3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grame"/>
    <w:basedOn w:val="7"/>
    <w:qFormat/>
    <w:uiPriority w:val="0"/>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190</Words>
  <Characters>1088</Characters>
  <Lines>9</Lines>
  <Paragraphs>2</Paragraphs>
  <TotalTime>15</TotalTime>
  <ScaleCrop>false</ScaleCrop>
  <LinksUpToDate>false</LinksUpToDate>
  <CharactersWithSpaces>1276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2019-10-08T10:34:00Z</dcterms:created>
  <dc:creator>PC</dc:creator>
  <cp:lastModifiedBy>淡看江湖路</cp:lastModifiedBy>
  <dcterms:modified xsi:type="dcterms:W3CDTF">2019-11-11T03:09:43Z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