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lang w:val="en-US" w:eastAsia="zh-CN" w:bidi="ar"/>
        </w:rPr>
        <w:t>苏州市吴江区自然资源和规划局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国有土地使用权挂牌出让公告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吴地网挂[2019]17号</w:t>
      </w:r>
      <w:bookmarkStart w:id="0" w:name="_GoBack"/>
      <w:bookmarkEnd w:id="0"/>
    </w:p>
    <w:p>
      <w:pPr>
        <w:keepNext w:val="0"/>
        <w:keepLines w:val="0"/>
        <w:widowControl/>
        <w:suppressLineNumbers w:val="0"/>
        <w:spacing w:line="23" w:lineRule="atLeast"/>
        <w:ind w:left="0" w:firstLine="420"/>
        <w:jc w:val="left"/>
        <w:rPr>
          <w:sz w:val="21"/>
          <w:szCs w:val="21"/>
        </w:rPr>
      </w:pPr>
      <w:r>
        <w:rPr>
          <w:rFonts w:ascii="宋体" w:hAnsi="宋体" w:eastAsia="宋体" w:cs="宋体"/>
          <w:kern w:val="0"/>
          <w:sz w:val="21"/>
          <w:szCs w:val="21"/>
          <w:lang w:val="en-US" w:eastAsia="zh-CN" w:bidi="ar"/>
        </w:rPr>
        <w:t>        经吴江区人民政府批准，苏州市吴江区自然资源和规划局决定以挂牌方式出让1（幅）地块的国有土地使用权。现将有关事项公告如下：</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一、挂牌出让地块的基本情况和规划指标要求</w:t>
      </w:r>
    </w:p>
    <w:tbl>
      <w:tblPr>
        <w:tblW w:w="5000" w:type="pct"/>
        <w:jc w:val="center"/>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autofit"/>
        <w:tblCellMar>
          <w:top w:w="0" w:type="dxa"/>
          <w:left w:w="0" w:type="dxa"/>
          <w:bottom w:w="0" w:type="dxa"/>
          <w:right w:w="0" w:type="dxa"/>
        </w:tblCellMar>
      </w:tblPr>
      <w:tblGrid>
        <w:gridCol w:w="1483"/>
        <w:gridCol w:w="467"/>
        <w:gridCol w:w="1031"/>
        <w:gridCol w:w="242"/>
        <w:gridCol w:w="694"/>
        <w:gridCol w:w="581"/>
        <w:gridCol w:w="581"/>
        <w:gridCol w:w="694"/>
        <w:gridCol w:w="468"/>
        <w:gridCol w:w="1145"/>
        <w:gridCol w:w="468"/>
        <w:gridCol w:w="468"/>
      </w:tblGrid>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CellMar>
            <w:top w:w="0" w:type="dxa"/>
            <w:left w:w="0" w:type="dxa"/>
            <w:bottom w:w="0" w:type="dxa"/>
            <w:right w:w="0" w:type="dxa"/>
          </w:tblCellMar>
        </w:tblPrEx>
        <w:trPr>
          <w:jc w:val="center"/>
        </w:trPr>
        <w:tc>
          <w:tcPr>
            <w:tcW w:w="40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编号 </w:t>
            </w:r>
          </w:p>
        </w:tc>
        <w:tc>
          <w:tcPr>
            <w:tcW w:w="0" w:type="auto"/>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土地位置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土地面积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（m2）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土地用途 </w:t>
            </w:r>
          </w:p>
        </w:tc>
        <w:tc>
          <w:tcPr>
            <w:tcW w:w="0" w:type="auto"/>
            <w:gridSpan w:val="3"/>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规划指标要求 </w:t>
            </w:r>
          </w:p>
        </w:tc>
        <w:tc>
          <w:tcPr>
            <w:tcW w:w="2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出让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年限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（年）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保证金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（万元）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起始价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（万元） </w:t>
            </w:r>
          </w:p>
        </w:tc>
        <w:tc>
          <w:tcPr>
            <w:tcW w:w="2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增价规则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及幅度 </w:t>
            </w:r>
          </w:p>
        </w:tc>
        <w:tc>
          <w:tcPr>
            <w:tcW w:w="0" w:type="auto"/>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定位 </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CellMar>
            <w:top w:w="0" w:type="dxa"/>
            <w:left w:w="0" w:type="dxa"/>
            <w:bottom w:w="0" w:type="dxa"/>
            <w:right w:w="0" w:type="dxa"/>
          </w:tblCellMar>
        </w:tblPrEx>
        <w:trPr>
          <w:jc w:val="center"/>
        </w:trPr>
        <w:tc>
          <w:tcPr>
            <w:tcW w:w="40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0" w:type="auto"/>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400" w:type="pc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容积率 </w:t>
            </w:r>
          </w:p>
        </w:tc>
        <w:tc>
          <w:tcPr>
            <w:tcW w:w="400" w:type="pc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建筑密度 </w:t>
            </w:r>
          </w:p>
        </w:tc>
        <w:tc>
          <w:tcPr>
            <w:tcW w:w="400" w:type="pc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绿地率 </w:t>
            </w:r>
          </w:p>
        </w:tc>
        <w:tc>
          <w:tcPr>
            <w:tcW w:w="2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2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0" w:type="auto"/>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CellMar>
            <w:top w:w="0" w:type="dxa"/>
            <w:left w:w="0" w:type="dxa"/>
            <w:bottom w:w="0" w:type="dxa"/>
            <w:right w:w="0" w:type="dxa"/>
          </w:tblCellMar>
        </w:tblPrEx>
        <w:trPr>
          <w:jc w:val="center"/>
        </w:trPr>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"http://221.224.76.18:8094/view/resource/ggdk_view.aspx?GGDK_GUID=96909225BE0A216AE055000000000001" \t "http://221.224.76.18:8094/view/resource/_blank"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WJ-J-2019-032</w:t>
            </w:r>
            <w:r>
              <w:rPr>
                <w:rFonts w:ascii="宋体" w:hAnsi="宋体" w:eastAsia="宋体" w:cs="宋体"/>
                <w:kern w:val="0"/>
                <w:sz w:val="24"/>
                <w:szCs w:val="24"/>
                <w:lang w:val="en-US" w:eastAsia="zh-CN" w:bidi="ar"/>
              </w:rPr>
              <w:fldChar w:fldCharType="end"/>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东太湖度假区（太湖新城）227省道西侧莘七公路北侧地块</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142829.74</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其它</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教育用地</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容积率≤1.20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建筑密度≤40%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30%≤绿化率</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2150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10712.2305</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200（万元）</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二、竞买资格：凡中华人民共和国境内外的公司、企业和自然人，除在本区内欠缴土地出让金的单位（含法定代表人与股东）、自然人及法律另有规定之外，均可申请参加。 根据江苏省信用办《关于对国家下发的严重失信企业实施联合惩戒工作的通知》（苏信用办﹝2016﹞73号）要求，限制严重失信企业参加国有建设用地使用权挂牌竞价出让活动。 竞买人应在报名阶段书面说明购地资金来源并作出承诺。如在签订土地出让合同前发现竞得人申报自有资金情况不实的，取消竞得资格并没收保证金，并保留要求其赔偿该地块组织网上挂牌出让支出的全部费用的权利。在签订土地出让合同后发现受让人申报自有资金情况不实的，终止出让合同并没收定金，并将相关违法违规行为纳入企业诚信系统。对于违反上述规定、构成违规参与竞买的竞得人禁止其在失信行为发生后三年内参加苏州市吴江区国有建设用地使用权挂牌竞价出让活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三、本次国有土地使用权挂牌出让按照价高者得原则确定竞得人。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四、本次挂牌出让的详细资料和具体要求，见挂牌出让文件。申请人可于2019年11月06日至2019年11月27日，到网上交易系统下载（地点）获取挂牌出让文件。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五、申请人可于2019年11月28日至2019年12月09日，到网上交易系统（地点）向我局提出书面申请。交纳竞买保证金的截止时间为2019年12月09日16时。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经审查，申请人按规定交纳竞买保证金，具备申请条件的，我局将在2019年12月09日16时前确认其竞买资格。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六、本次国有土地使用权挂牌地点为网上交易系统；各地块挂牌时间分别：</w:t>
      </w:r>
      <w:r>
        <w:rPr>
          <w:rFonts w:ascii="宋体" w:hAnsi="宋体" w:eastAsia="宋体" w:cs="宋体"/>
          <w:vanish/>
          <w:kern w:val="0"/>
          <w:sz w:val="24"/>
          <w:szCs w:val="24"/>
          <w:lang w:val="en-US" w:eastAsia="zh-CN" w:bidi="ar"/>
        </w:rPr>
        <w:object>
          <v:shape id="_x0000_i1026" o:spt="201" type="#_x0000_t201" style="height:18pt;width:72pt;" o:ole="t" filled="f" o:preferrelative="t" stroked="f" coordsize="21600,21600">
            <v:path/>
            <v:fill on="f" focussize="0,0"/>
            <v:stroke on="f"/>
            <v:imagedata r:id="rId7" o:title=""/>
            <o:lock v:ext="edit" aspectratio="t"/>
            <w10:wrap type="none"/>
            <w10:anchorlock/>
          </v:shape>
          <w:control r:id="rId6" w:name="Control 2" w:shapeid="_x0000_i1026"/>
        </w:object>
      </w:r>
      <w:r>
        <w:rPr>
          <w:rFonts w:ascii="宋体" w:hAnsi="宋体" w:eastAsia="宋体" w:cs="宋体"/>
          <w:vanish/>
          <w:kern w:val="0"/>
          <w:sz w:val="24"/>
          <w:szCs w:val="24"/>
          <w:lang w:val="en-US" w:eastAsia="zh-CN" w:bidi="ar"/>
        </w:rPr>
        <w:object>
          <v:shape id="_x0000_i1027" o:spt="201" type="#_x0000_t201" style="height:18pt;width:72pt;" o:ole="t" filled="f" o:preferrelative="t" stroked="f" coordsize="21600,21600">
            <v:path/>
            <v:fill on="f" focussize="0,0"/>
            <v:stroke on="f"/>
            <v:imagedata r:id="rId7" o:title=""/>
            <o:lock v:ext="edit" aspectratio="t"/>
            <w10:wrap type="none"/>
            <w10:anchorlock/>
          </v:shape>
          <w:control r:id="rId8" w:name="Control 3" w:shapeid="_x0000_i1027"/>
        </w:object>
      </w:r>
    </w:p>
    <w:tbl>
      <w:tblPr>
        <w:tblW w:w="4500" w:type="pct"/>
        <w:jc w:val="center"/>
        <w:tblCellSpacing w:w="0" w:type="dxa"/>
        <w:shd w:val="clear"/>
        <w:tblLayout w:type="autofit"/>
        <w:tblCellMar>
          <w:top w:w="0" w:type="dxa"/>
          <w:left w:w="0" w:type="dxa"/>
          <w:bottom w:w="0" w:type="dxa"/>
          <w:right w:w="0" w:type="dxa"/>
        </w:tblCellMar>
      </w:tblPr>
      <w:tblGrid>
        <w:gridCol w:w="7475"/>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spacing w:before="0" w:beforeAutospacing="1" w:after="0" w:afterAutospacing="1"/>
              <w:ind w:left="0" w:right="0"/>
            </w:pPr>
            <w:r>
              <w:t>1、地块编号：WJ-J-2019-032；</w:t>
            </w:r>
            <w:r>
              <w:br w:type="textWrapping"/>
            </w:r>
            <w:r>
              <w:t>报名时间：2019年11月28日 09时00分 至2019年12月09日 16时00分；</w:t>
            </w:r>
            <w:r>
              <w:br w:type="textWrapping"/>
            </w:r>
            <w:r>
              <w:t>保证金缴纳时间：2019年11月28日 09时00分 至2019年12月09日 16时00分；</w:t>
            </w:r>
            <w:r>
              <w:br w:type="textWrapping"/>
            </w:r>
            <w:r>
              <w:t>挂牌时间：2019年11月28日9时 至2019年12月10日9时30分；</w:t>
            </w:r>
          </w:p>
        </w:tc>
      </w:tr>
    </w:tbl>
    <w:p>
      <w:pPr>
        <w:keepNext w:val="0"/>
        <w:keepLines w:val="0"/>
        <w:widowControl/>
        <w:suppressLineNumbers w:val="0"/>
        <w:jc w:val="left"/>
      </w:pPr>
      <w:r>
        <w:rPr>
          <w:rFonts w:ascii="宋体" w:hAnsi="宋体" w:eastAsia="宋体" w:cs="宋体"/>
          <w:kern w:val="0"/>
          <w:sz w:val="24"/>
          <w:szCs w:val="24"/>
          <w:lang w:val="en-US" w:eastAsia="zh-CN" w:bidi="ar"/>
        </w:rPr>
        <w:t>        七、其他需要公告的事项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（一）挂牌时间截止时，有竞买人表示愿意继续竞价，转入现场竞价，通过现场竞价确定竞得人。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八、联系方式与银行账户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联系地址：苏州市吴江区地产交易中心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联系电话：0512-63103385、 63103386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 系 人：李先生 袁女士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开户单位：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开 户 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账       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24"/>
          <w:szCs w:val="24"/>
          <w:lang w:val="en-US" w:eastAsia="zh-CN" w:bidi="ar"/>
        </w:rPr>
        <w:t>苏州市吴江区自然资源和规划局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2019年11月05日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7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ontrol" Target="activeX/activeX2.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NULL"/><Relationship Id="rId4" Type="http://schemas.openxmlformats.org/officeDocument/2006/relationships/hyperlink" Target="http://221.224.76.18:8094/view/resource/mapview.aspx?id=96909225BE0A216AE055000000000001"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2019-11-06T10:50:01Z</dcterms:created>
  <dc:creator>soufun</dc:creator>
  <cp:lastModifiedBy>soufun</cp:lastModifiedBy>
  <dcterms:modified xsi:type="dcterms:W3CDTF">2019-11-06T10:50:12Z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