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26E8" w:rsidRPr="002326E8" w:rsidRDefault="002326E8" w:rsidP="002326E8">
      <w:pPr>
        <w:widowControl/>
        <w:jc w:val="center"/>
        <w:rPr>
          <w:rFonts w:ascii="微软雅黑" w:eastAsia="微软雅黑" w:hAnsi="微软雅黑" w:cs="宋体"/>
          <w:b/>
          <w:bCs/>
          <w:color w:val="4E5E6E"/>
          <w:kern w:val="0"/>
          <w:sz w:val="27"/>
          <w:szCs w:val="27"/>
        </w:rPr>
      </w:pPr>
      <w:r w:rsidRPr="002326E8">
        <w:rPr>
          <w:rFonts w:ascii="微软雅黑" w:eastAsia="微软雅黑" w:hAnsi="微软雅黑" w:cs="宋体" w:hint="eastAsia"/>
          <w:b/>
          <w:bCs/>
          <w:color w:val="4E5E6E"/>
          <w:kern w:val="0"/>
          <w:sz w:val="27"/>
          <w:szCs w:val="27"/>
        </w:rPr>
        <w:t>成都市双流区挂牌出让国有建设用地使用权公告(双流成公资土网挂告(2019)07号)</w:t>
      </w:r>
    </w:p>
    <w:p w:rsidR="002326E8" w:rsidRPr="002326E8" w:rsidRDefault="002326E8" w:rsidP="002326E8">
      <w:pPr>
        <w:widowControl/>
        <w:jc w:val="center"/>
        <w:rPr>
          <w:rFonts w:ascii="微软雅黑" w:eastAsia="微软雅黑" w:hAnsi="微软雅黑" w:cs="宋体" w:hint="eastAsia"/>
          <w:color w:val="9D9D9D"/>
          <w:kern w:val="0"/>
          <w:szCs w:val="21"/>
        </w:rPr>
      </w:pPr>
      <w:r w:rsidRPr="002326E8">
        <w:rPr>
          <w:rFonts w:ascii="微软雅黑" w:eastAsia="微软雅黑" w:hAnsi="微软雅黑" w:cs="宋体" w:hint="eastAsia"/>
          <w:color w:val="9D9D9D"/>
          <w:kern w:val="0"/>
          <w:szCs w:val="21"/>
        </w:rPr>
        <w:t>日期：2019-12-13</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color w:val="000000"/>
          <w:kern w:val="0"/>
          <w:sz w:val="27"/>
          <w:szCs w:val="27"/>
        </w:rPr>
      </w:pPr>
      <w:r w:rsidRPr="002326E8">
        <w:rPr>
          <w:rFonts w:ascii="宋体" w:eastAsia="宋体" w:hAnsi="宋体" w:cs="宋体" w:hint="eastAsia"/>
          <w:color w:val="000000"/>
          <w:kern w:val="0"/>
          <w:sz w:val="24"/>
          <w:szCs w:val="24"/>
        </w:rPr>
        <w:t>根据《土地管理法》、《城市房地产管理法》、国土资源部39号令、《成都市人民政府关于贯彻省政府&lt;关于进一步加强土地出让管理规定&gt;的实施意见》（成府发〔2015〕21号）等规定及《国有建设用地使用权出让方案》，成都市双流区公共资源交易服务中心受出让人委托以网上挂牌出让的方式组织出让7宗国有建设用地使用权。现就有关事项公告如下：</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一、网上挂牌出让宗地基本情况：</w:t>
      </w:r>
    </w:p>
    <w:tbl>
      <w:tblPr>
        <w:tblW w:w="21600" w:type="dxa"/>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4"/>
        <w:gridCol w:w="740"/>
        <w:gridCol w:w="1507"/>
        <w:gridCol w:w="1253"/>
        <w:gridCol w:w="477"/>
        <w:gridCol w:w="674"/>
        <w:gridCol w:w="609"/>
        <w:gridCol w:w="1435"/>
        <w:gridCol w:w="1396"/>
        <w:gridCol w:w="631"/>
        <w:gridCol w:w="2987"/>
        <w:gridCol w:w="631"/>
        <w:gridCol w:w="2902"/>
        <w:gridCol w:w="5258"/>
        <w:gridCol w:w="866"/>
      </w:tblGrid>
      <w:tr w:rsidR="002326E8" w:rsidRPr="002326E8" w:rsidTr="002326E8">
        <w:trPr>
          <w:tblCellSpacing w:w="0" w:type="dxa"/>
        </w:trPr>
        <w:tc>
          <w:tcPr>
            <w:tcW w:w="3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序号</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宗地编号</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宗地位置</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净用地面积（平方米）</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土地用途及出让年限</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挂牌出让起始价</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竞买保证金（万元）</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挂牌出让起止日期</w:t>
            </w:r>
          </w:p>
        </w:tc>
        <w:tc>
          <w:tcPr>
            <w:tcW w:w="4800" w:type="dxa"/>
            <w:gridSpan w:val="4"/>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规划设计条件</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326E8" w:rsidRPr="002326E8" w:rsidRDefault="002326E8" w:rsidP="002326E8">
            <w:pPr>
              <w:widowControl/>
              <w:jc w:val="left"/>
              <w:rPr>
                <w:rFonts w:ascii="微软雅黑" w:eastAsia="微软雅黑" w:hAnsi="微软雅黑" w:cs="宋体" w:hint="eastAsia"/>
                <w:kern w:val="0"/>
                <w:sz w:val="24"/>
                <w:szCs w:val="24"/>
              </w:rPr>
            </w:pP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kern w:val="0"/>
                <w:sz w:val="24"/>
                <w:szCs w:val="24"/>
              </w:rPr>
            </w:pPr>
            <w:r w:rsidRPr="002326E8">
              <w:rPr>
                <w:rFonts w:ascii="宋体" w:eastAsia="宋体" w:hAnsi="宋体" w:cs="宋体" w:hint="eastAsia"/>
                <w:color w:val="000000"/>
                <w:kern w:val="0"/>
                <w:sz w:val="18"/>
                <w:szCs w:val="18"/>
              </w:rPr>
              <w:t>项目产业要求</w:t>
            </w:r>
          </w:p>
        </w:tc>
        <w:tc>
          <w:tcPr>
            <w:tcW w:w="1200" w:type="dxa"/>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出让人</w:t>
            </w:r>
          </w:p>
        </w:tc>
      </w:tr>
      <w:tr w:rsidR="002326E8" w:rsidRPr="002326E8" w:rsidTr="002326E8">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18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容积率</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建筑密度</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建筑高度</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规划用地使用性质</w:t>
            </w:r>
          </w:p>
        </w:tc>
        <w:tc>
          <w:tcPr>
            <w:tcW w:w="1200" w:type="dxa"/>
            <w:tcBorders>
              <w:top w:val="single" w:sz="6" w:space="0" w:color="auto"/>
              <w:left w:val="single" w:sz="6" w:space="0" w:color="auto"/>
              <w:bottom w:val="single" w:sz="6" w:space="0" w:color="auto"/>
              <w:right w:val="single" w:sz="6" w:space="0" w:color="auto"/>
            </w:tcBorders>
            <w:shd w:val="clear" w:color="auto" w:fill="auto"/>
            <w:tcMar>
              <w:top w:w="0" w:type="dxa"/>
              <w:left w:w="105" w:type="dxa"/>
              <w:bottom w:w="0" w:type="dxa"/>
              <w:right w:w="105" w:type="dxa"/>
            </w:tcMar>
            <w:vAlign w:val="center"/>
            <w:hideMark/>
          </w:tcPr>
          <w:p w:rsidR="002326E8" w:rsidRPr="002326E8" w:rsidRDefault="002326E8" w:rsidP="002326E8">
            <w:pPr>
              <w:widowControl/>
              <w:spacing w:before="100" w:beforeAutospacing="1" w:after="100" w:afterAutospacing="1" w:line="285" w:lineRule="atLeast"/>
              <w:jc w:val="center"/>
              <w:rPr>
                <w:rFonts w:ascii="微软雅黑" w:eastAsia="微软雅黑" w:hAnsi="微软雅黑" w:cs="宋体" w:hint="eastAsia"/>
                <w:kern w:val="0"/>
                <w:sz w:val="24"/>
                <w:szCs w:val="24"/>
              </w:rPr>
            </w:pPr>
            <w:r w:rsidRPr="002326E8">
              <w:rPr>
                <w:rFonts w:ascii="宋体" w:eastAsia="宋体" w:hAnsi="宋体" w:cs="宋体" w:hint="eastAsia"/>
                <w:color w:val="000000"/>
                <w:kern w:val="0"/>
                <w:sz w:val="18"/>
                <w:szCs w:val="18"/>
              </w:rPr>
              <w:t>投资强度要求</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微软雅黑" w:eastAsia="微软雅黑" w:hAnsi="微软雅黑" w:cs="宋体"/>
                <w:kern w:val="0"/>
                <w:sz w:val="24"/>
                <w:szCs w:val="24"/>
              </w:rPr>
            </w:pP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SLSWC-2019-07</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双流区永安镇凤凰村8、9组，公兴街道青云寺村4组</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19176.95合28.7654（亩）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22.30万元/亩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350</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2020年01月02日09时 至 2020年01月16日14时</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不大于3且不小于1.5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建筑物（含所有建、构筑物及设施）最高点高程不大于航空限高，若要突破航空限高应取得航空限高主管单位的书面批复。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不低于350万元/亩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宗地项目投资强度不低于350万元/亩，项目税收产出率不低于35万元/亩，其余详见《成都市双流区工业用地产业准入表》，宗地成交后，不动产权（土地使用权及房屋所有权）未经双流区政府批准不得分割转让。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成都市双流区规划和自然资源局</w:t>
            </w: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SLG-2019-019</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双流区黄甲街道八角村集体，五组，王家场村集体</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54718.81合82.0782（亩）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工业用地50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32万元/亩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1900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不小于54800平方米且不大于164100平方米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建筑物（含所有建、构筑物及设施）最高点高程满足航空限高要求，若要突破航空限高应取得航空限高主管单位的书面批复。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总投资额不低于60000万元，投资强度不低于724万元/亩，亩均税收不低于41万元/亩，年产值不低于724万元/亩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以成都市经济和信息化局审核同意的《成都市工业用地产业准入表》为准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成都市双流区规划和自然资源局</w:t>
            </w: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SLSWC-2019-11</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双流区永安镇松柏村1组，公兴街道青云寺村4组</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89038.61合133.5579（亩）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22.30万元/亩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不大于3且不小于1.5</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建筑物（含所有建、构筑物及设施）最高点高程不大于航空限高，若要突破航空限高应取得航空限高主管单位的书面批复。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不低于350万元/亩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宗地项目投资强度不低于350万元/亩，项目税收产出率不低于35万元/亩，其余要求详见该宗地《成都市双流区工业用地产业准入表》，宗地成交后，不动产权（土地使用权及房屋所有权）未经双流区政府批准不得分割转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成都市双流区规划和自然资源局</w:t>
            </w: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SLG-2019-020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双流区公兴街道青云寺村三组</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33977.89合50.9668（亩）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22.30万元/亩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800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不小于34000平方米且不大于101900平方米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建筑物（含所有建、构筑物及设施）制高点应满足航空限高的要求，若要突破航空限高应取得航空限高主管单位的书面批复。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总投资额不低于17000万元，投资强度不低于300万元/亩。年销售收入不低于600万元/亩。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以成都市双流区人民政府审核同意的《成都市双流区工业用地产业准入表》为准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成都市双流区规划和自然资源局</w:t>
            </w: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SLG-2019-018</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双流区黄甲街道双华社区3组，西航港街道龙港社区3组</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139910.04合209.8651（亩）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工业用地20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22.30万元/亩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3300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不小于140000平方米且不大于419700平方米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建筑物（含所有建、构筑物及设施）制高点应满足航空限高的要求，若要突破航空限高应取得航空限高主管单位的书面批复。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不总投资额不低于50000万元，投资强度不低于238万元/亩。年销售收入不低于500万元/亩。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以成都市双流区人民政府审核同意的《成都市双流区工业用地产业准入表》为准。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 规划和自然资源局</w:t>
            </w: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6</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SLG-2019-017</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双流区公兴街道兰家沟社区八、九组</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133399.90合200.0999（亩）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工业用地50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32万元/亩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4500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不小于133400平方米且不大于400100平方米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建筑物（含所有建、构筑物及设施）最高点高程满足航空限高要求，若要突破航空限高应取得航空限高主管单位的书面批复。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总投资额不低于105000万元，投资强度不低于500万元/亩。年产值不低于500万元/亩。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以成都市经济和信息化局审核同意的《成都市工业用地产业准入表》为准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成都市双流区规划和自然资源局</w:t>
            </w:r>
          </w:p>
        </w:tc>
      </w:tr>
      <w:tr w:rsidR="002326E8" w:rsidRPr="002326E8" w:rsidTr="002326E8">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lastRenderedPageBreak/>
              <w:t>7</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SLG-2019-016</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双流区黄甲街道八角社区5组，一里坡社区5、6组</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148694.83合223.0423（亩）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工业用地50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32万元/亩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5000</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left"/>
              <w:rPr>
                <w:rFonts w:ascii="宋体" w:eastAsia="宋体" w:hAnsi="宋体" w:cs="宋体"/>
                <w:color w:val="000000"/>
                <w:kern w:val="0"/>
                <w:sz w:val="18"/>
                <w:szCs w:val="18"/>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不小于148700平方米且不大于446000平方米</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不小于40%</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建筑物（含所有建、构筑物及设施）最高点高程满足航空限高要求，若要突破航空限高应取得航空限高主管单位的书面批复。</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一类工业用地</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总投资额不低于70000万元，投资强度不低于300万元/亩。年产值不低于897万元/亩。</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以成都市经济和信息化局审核同意的《成都市工业用地产业准入表》为准。</w:t>
            </w:r>
          </w:p>
        </w:tc>
        <w:tc>
          <w:tcPr>
            <w:tcW w:w="0" w:type="auto"/>
            <w:tcBorders>
              <w:top w:val="outset" w:sz="6" w:space="0" w:color="auto"/>
              <w:left w:val="outset" w:sz="6" w:space="0" w:color="auto"/>
              <w:bottom w:val="outset" w:sz="6" w:space="0" w:color="auto"/>
              <w:right w:val="outset" w:sz="6" w:space="0" w:color="auto"/>
            </w:tcBorders>
            <w:vAlign w:val="center"/>
            <w:hideMark/>
          </w:tcPr>
          <w:p w:rsidR="002326E8" w:rsidRPr="002326E8" w:rsidRDefault="002326E8" w:rsidP="002326E8">
            <w:pPr>
              <w:widowControl/>
              <w:jc w:val="center"/>
              <w:rPr>
                <w:rFonts w:ascii="宋体" w:eastAsia="宋体" w:hAnsi="宋体" w:cs="宋体" w:hint="eastAsia"/>
                <w:color w:val="000000"/>
                <w:kern w:val="0"/>
                <w:sz w:val="18"/>
                <w:szCs w:val="18"/>
              </w:rPr>
            </w:pPr>
            <w:r w:rsidRPr="002326E8">
              <w:rPr>
                <w:rFonts w:ascii="宋体" w:eastAsia="宋体" w:hAnsi="宋体" w:cs="宋体" w:hint="eastAsia"/>
                <w:color w:val="000000"/>
                <w:kern w:val="0"/>
                <w:sz w:val="18"/>
                <w:szCs w:val="18"/>
              </w:rPr>
              <w:t>成都市双流区规划和自然资源局</w:t>
            </w:r>
          </w:p>
        </w:tc>
      </w:tr>
    </w:tbl>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二、中华人民共和国境内外的法人、自然人和其他组织均可申请参加竞买，竞买申请人可独立竞买也可联合竞买，但出让方案或法律法规有特殊要求的除外。</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三、申请参加本公告多宗土地竞买的，竞买保证金须按所竞买宗地对应金额足额缴纳。</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四、本次国有建设用地使用权挂牌出让实行网上报名（缴纳外币竞买保证金的除外）、报价及竞价。竞买申请人可通过成都市公共资源交易服务中心门户网站（https://www.cdggzy.com/）查阅网上报名用户注册、网上报名操作指南、网上挂牌出让国有建设工业用地使用权规则，并于2019年12月17日起下载出让文件。</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五、已注册为网上报名用户的竞买申请人须在2020年01月14日16时之前足额缴纳竞买保证金,2020年01月14日16时30分之前通过成都市公共资源交易服务中心门户网站（https://www.cdggzy.com/）土地网上报名系统完成网上报名手续，并请于2020年01月16日14时提前登录网上挂牌出让系统，根据系统提示参与竞价或查看交易结果。（报名咨询电话：028-85838965）</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六、本公告未尽事宜详见出让文件，并以出让文件中附录的行政主管部门的文件为准。本公告发布后，可能出现延期、中止、终止等变更情况。为保障各竞买人顺利参加公共资源交易活动，敬请各竞买人在交易开始前随时关注查阅相关公告信息。</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联系地址：成都市双流区机场路土桥段10号</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详 情 见：四川省政府政务服务和公共资源交易服务中心(http://www.spprec.com)  成都市公共资源交易服务中心（https://www.cdggzy.com/）</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成都市规划和自然资源局（http://www.cdlr.gov.cn）</w:t>
      </w:r>
    </w:p>
    <w:p w:rsidR="002326E8" w:rsidRPr="002326E8" w:rsidRDefault="002326E8" w:rsidP="002326E8">
      <w:pPr>
        <w:widowControl/>
        <w:spacing w:before="100" w:beforeAutospacing="1" w:after="100" w:afterAutospacing="1" w:line="285" w:lineRule="atLeast"/>
        <w:jc w:val="left"/>
        <w:rPr>
          <w:rFonts w:ascii="微软雅黑" w:eastAsia="微软雅黑" w:hAnsi="微软雅黑" w:cs="宋体" w:hint="eastAsia"/>
          <w:color w:val="000000"/>
          <w:kern w:val="0"/>
          <w:sz w:val="27"/>
          <w:szCs w:val="27"/>
        </w:rPr>
      </w:pPr>
      <w:r w:rsidRPr="002326E8">
        <w:rPr>
          <w:rFonts w:ascii="宋体" w:eastAsia="宋体" w:hAnsi="宋体" w:cs="宋体" w:hint="eastAsia"/>
          <w:color w:val="000000"/>
          <w:kern w:val="0"/>
          <w:sz w:val="24"/>
          <w:szCs w:val="24"/>
        </w:rPr>
        <w:t>成都市双流区公共资源交易服务中心</w:t>
      </w:r>
      <w:r w:rsidRPr="002326E8">
        <w:rPr>
          <w:rFonts w:ascii="微软雅黑" w:eastAsia="微软雅黑" w:hAnsi="微软雅黑" w:cs="宋体" w:hint="eastAsia"/>
          <w:color w:val="000000"/>
          <w:kern w:val="0"/>
          <w:sz w:val="27"/>
          <w:szCs w:val="27"/>
        </w:rPr>
        <w:br/>
      </w:r>
      <w:r w:rsidRPr="002326E8">
        <w:rPr>
          <w:rFonts w:ascii="宋体" w:eastAsia="宋体" w:hAnsi="宋体" w:cs="宋体" w:hint="eastAsia"/>
          <w:color w:val="000000"/>
          <w:kern w:val="0"/>
          <w:sz w:val="24"/>
          <w:szCs w:val="24"/>
        </w:rPr>
        <w:t>2019年12月13日</w:t>
      </w:r>
    </w:p>
    <w:p w:rsidR="007E3454" w:rsidRPr="002326E8" w:rsidRDefault="00990FB4">
      <w:bookmarkStart w:id="0" w:name="_GoBack"/>
      <w:bookmarkEnd w:id="0"/>
    </w:p>
    <w:sectPr w:rsidR="007E3454" w:rsidRPr="002326E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90FB4" w:rsidRDefault="00990FB4" w:rsidP="002326E8">
      <w:r>
        <w:separator/>
      </w:r>
    </w:p>
  </w:endnote>
  <w:endnote w:type="continuationSeparator" w:id="0">
    <w:p w:rsidR="00990FB4" w:rsidRDefault="00990FB4" w:rsidP="00232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90FB4" w:rsidRDefault="00990FB4" w:rsidP="002326E8">
      <w:r>
        <w:separator/>
      </w:r>
    </w:p>
  </w:footnote>
  <w:footnote w:type="continuationSeparator" w:id="0">
    <w:p w:rsidR="00990FB4" w:rsidRDefault="00990FB4" w:rsidP="002326E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699"/>
    <w:rsid w:val="001F7916"/>
    <w:rsid w:val="00210699"/>
    <w:rsid w:val="002326E8"/>
    <w:rsid w:val="00990FB4"/>
    <w:rsid w:val="00B44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22906AE-7C5C-4825-8225-F1F7812E0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326E8"/>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2326E8"/>
    <w:rPr>
      <w:sz w:val="18"/>
      <w:szCs w:val="18"/>
    </w:rPr>
  </w:style>
  <w:style w:type="paragraph" w:styleId="a5">
    <w:name w:val="footer"/>
    <w:basedOn w:val="a"/>
    <w:link w:val="a6"/>
    <w:uiPriority w:val="99"/>
    <w:unhideWhenUsed/>
    <w:rsid w:val="002326E8"/>
    <w:pPr>
      <w:tabs>
        <w:tab w:val="center" w:pos="4153"/>
        <w:tab w:val="right" w:pos="8306"/>
      </w:tabs>
      <w:snapToGrid w:val="0"/>
      <w:jc w:val="left"/>
    </w:pPr>
    <w:rPr>
      <w:sz w:val="18"/>
      <w:szCs w:val="18"/>
    </w:rPr>
  </w:style>
  <w:style w:type="character" w:customStyle="1" w:styleId="a6">
    <w:name w:val="页脚 字符"/>
    <w:basedOn w:val="a0"/>
    <w:link w:val="a5"/>
    <w:uiPriority w:val="99"/>
    <w:rsid w:val="002326E8"/>
    <w:rPr>
      <w:sz w:val="18"/>
      <w:szCs w:val="18"/>
    </w:rPr>
  </w:style>
  <w:style w:type="paragraph" w:styleId="a7">
    <w:name w:val="Normal (Web)"/>
    <w:basedOn w:val="a"/>
    <w:uiPriority w:val="99"/>
    <w:semiHidden/>
    <w:unhideWhenUsed/>
    <w:rsid w:val="002326E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3479542">
      <w:bodyDiv w:val="1"/>
      <w:marLeft w:val="0"/>
      <w:marRight w:val="0"/>
      <w:marTop w:val="0"/>
      <w:marBottom w:val="0"/>
      <w:divBdr>
        <w:top w:val="none" w:sz="0" w:space="0" w:color="auto"/>
        <w:left w:val="none" w:sz="0" w:space="0" w:color="auto"/>
        <w:bottom w:val="none" w:sz="0" w:space="0" w:color="auto"/>
        <w:right w:val="none" w:sz="0" w:space="0" w:color="auto"/>
      </w:divBdr>
    </w:div>
    <w:div w:id="1939020780">
      <w:bodyDiv w:val="1"/>
      <w:marLeft w:val="0"/>
      <w:marRight w:val="0"/>
      <w:marTop w:val="0"/>
      <w:marBottom w:val="0"/>
      <w:divBdr>
        <w:top w:val="none" w:sz="0" w:space="0" w:color="auto"/>
        <w:left w:val="none" w:sz="0" w:space="0" w:color="auto"/>
        <w:bottom w:val="none" w:sz="0" w:space="0" w:color="auto"/>
        <w:right w:val="none" w:sz="0" w:space="0" w:color="auto"/>
      </w:divBdr>
      <w:divsChild>
        <w:div w:id="825169331">
          <w:marLeft w:val="0"/>
          <w:marRight w:val="0"/>
          <w:marTop w:val="30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458</Words>
  <Characters>2614</Characters>
  <Application>Microsoft Office Word</Application>
  <DocSecurity>0</DocSecurity>
  <Lines>21</Lines>
  <Paragraphs>6</Paragraphs>
  <ScaleCrop>false</ScaleCrop>
  <Company>Hewlett-Packard Company</Company>
  <LinksUpToDate>false</LinksUpToDate>
  <CharactersWithSpaces>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yingying</dc:creator>
  <cp:keywords/>
  <dc:description/>
  <cp:lastModifiedBy>yingying</cp:lastModifiedBy>
  <cp:revision>2</cp:revision>
  <dcterms:created xsi:type="dcterms:W3CDTF">2019-12-16T01:44:00Z</dcterms:created>
  <dcterms:modified xsi:type="dcterms:W3CDTF">2019-12-16T01:44:00Z</dcterms:modified>
</cp:coreProperties>
</file>