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宋体" w:hAnsi="宋体" w:eastAsia="宋体" w:cs="宋体"/>
          <w:kern w:val="0"/>
          <w:sz w:val="24"/>
          <w:szCs w:val="24"/>
          <w:lang w:val="en-US" w:eastAsia="zh-CN" w:bidi="ar"/>
        </w:rPr>
        <w:t>常熟市自然资源和规划局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国有土地使用权挂牌出让公告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常资规网工挂〔2020〕26号</w:t>
      </w:r>
    </w:p>
    <w:p>
      <w:pPr>
        <w:keepNext w:val="0"/>
        <w:keepLines w:val="0"/>
        <w:widowControl/>
        <w:suppressLineNumbers w:val="0"/>
        <w:spacing w:line="23" w:lineRule="atLeast"/>
        <w:ind w:left="0" w:firstLine="420"/>
        <w:jc w:val="left"/>
        <w:rPr>
          <w:sz w:val="21"/>
          <w:szCs w:val="21"/>
        </w:rPr>
      </w:pPr>
      <w:r>
        <w:rPr>
          <w:rFonts w:ascii="宋体" w:hAnsi="宋体" w:eastAsia="宋体" w:cs="宋体"/>
          <w:kern w:val="0"/>
          <w:sz w:val="21"/>
          <w:szCs w:val="21"/>
          <w:lang w:val="en-US" w:eastAsia="zh-CN" w:bidi="ar"/>
        </w:rPr>
        <w:t>        经常熟市人民政府批准，常熟市自然资源和规划局决定以挂牌方式出让1（幅）地块的国有土地使用权。现将有关事项公告如下：</w:t>
      </w:r>
      <w:bookmarkStart w:id="0" w:name="_GoBack"/>
      <w:bookmarkEnd w:id="0"/>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一、挂牌出让地块的基本情况和规划指标要求</w:t>
      </w:r>
    </w:p>
    <w:tbl>
      <w:tblPr>
        <w:tblW w:w="5000" w:type="pct"/>
        <w:jc w:val="center"/>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Layout w:type="autofit"/>
        <w:tblCellMar>
          <w:top w:w="0" w:type="dxa"/>
          <w:left w:w="0" w:type="dxa"/>
          <w:bottom w:w="0" w:type="dxa"/>
          <w:right w:w="0" w:type="dxa"/>
        </w:tblCellMar>
      </w:tblPr>
      <w:tblGrid>
        <w:gridCol w:w="976"/>
        <w:gridCol w:w="980"/>
        <w:gridCol w:w="736"/>
        <w:gridCol w:w="458"/>
        <w:gridCol w:w="736"/>
        <w:gridCol w:w="616"/>
        <w:gridCol w:w="616"/>
        <w:gridCol w:w="736"/>
        <w:gridCol w:w="497"/>
        <w:gridCol w:w="977"/>
        <w:gridCol w:w="497"/>
        <w:gridCol w:w="497"/>
      </w:tblGrid>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CellMar>
            <w:top w:w="0" w:type="dxa"/>
            <w:left w:w="0" w:type="dxa"/>
            <w:bottom w:w="0" w:type="dxa"/>
            <w:right w:w="0" w:type="dxa"/>
          </w:tblCellMar>
        </w:tblPrEx>
        <w:trPr>
          <w:jc w:val="center"/>
        </w:trPr>
        <w:tc>
          <w:tcPr>
            <w:tcW w:w="40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编号 </w:t>
            </w:r>
          </w:p>
        </w:tc>
        <w:tc>
          <w:tcPr>
            <w:tcW w:w="0" w:type="auto"/>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土地位置 </w:t>
            </w:r>
          </w:p>
        </w:tc>
        <w:tc>
          <w:tcPr>
            <w:tcW w:w="3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土地面积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（m2） </w:t>
            </w:r>
          </w:p>
        </w:tc>
        <w:tc>
          <w:tcPr>
            <w:tcW w:w="3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土地用途 </w:t>
            </w:r>
          </w:p>
        </w:tc>
        <w:tc>
          <w:tcPr>
            <w:tcW w:w="0" w:type="auto"/>
            <w:gridSpan w:val="3"/>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规划指标要求 </w:t>
            </w:r>
          </w:p>
        </w:tc>
        <w:tc>
          <w:tcPr>
            <w:tcW w:w="2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出让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年限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（年） </w:t>
            </w:r>
          </w:p>
        </w:tc>
        <w:tc>
          <w:tcPr>
            <w:tcW w:w="3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保证金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（万元） </w:t>
            </w:r>
          </w:p>
        </w:tc>
        <w:tc>
          <w:tcPr>
            <w:tcW w:w="3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起始价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（万元） </w:t>
            </w:r>
          </w:p>
        </w:tc>
        <w:tc>
          <w:tcPr>
            <w:tcW w:w="250" w:type="pct"/>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增价规则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及幅度 </w:t>
            </w:r>
          </w:p>
        </w:tc>
        <w:tc>
          <w:tcPr>
            <w:tcW w:w="0" w:type="auto"/>
            <w:vMerge w:val="restar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定位 </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CellMar>
            <w:top w:w="0" w:type="dxa"/>
            <w:left w:w="0" w:type="dxa"/>
            <w:bottom w:w="0" w:type="dxa"/>
            <w:right w:w="0" w:type="dxa"/>
          </w:tblCellMar>
        </w:tblPrEx>
        <w:trPr>
          <w:jc w:val="center"/>
        </w:trPr>
        <w:tc>
          <w:tcPr>
            <w:tcW w:w="40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0" w:type="auto"/>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3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3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400" w:type="pc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容积率 </w:t>
            </w:r>
          </w:p>
        </w:tc>
        <w:tc>
          <w:tcPr>
            <w:tcW w:w="400" w:type="pc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建筑密度 </w:t>
            </w:r>
          </w:p>
        </w:tc>
        <w:tc>
          <w:tcPr>
            <w:tcW w:w="400" w:type="pct"/>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绿地率 </w:t>
            </w:r>
          </w:p>
        </w:tc>
        <w:tc>
          <w:tcPr>
            <w:tcW w:w="2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3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3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250" w:type="pct"/>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c>
          <w:tcPr>
            <w:tcW w:w="0" w:type="auto"/>
            <w:vMerge w:val="continue"/>
            <w:tcBorders>
              <w:top w:val="outset" w:color="111111" w:sz="6" w:space="0"/>
              <w:left w:val="outset" w:color="111111" w:sz="6" w:space="0"/>
              <w:bottom w:val="outset" w:color="111111" w:sz="6" w:space="0"/>
              <w:right w:val="outset" w:color="111111" w:sz="6" w:space="0"/>
            </w:tcBorders>
            <w:shd w:val="clear"/>
            <w:vAlign w:val="center"/>
          </w:tcPr>
          <w:p>
            <w:pPr>
              <w:jc w:val="center"/>
              <w:rPr>
                <w:rFonts w:hint="eastAsia" w:ascii="宋体"/>
                <w:sz w:val="24"/>
                <w:szCs w:val="24"/>
              </w:rPr>
            </w:pP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tblCellMar>
            <w:top w:w="0" w:type="dxa"/>
            <w:left w:w="0" w:type="dxa"/>
            <w:bottom w:w="0" w:type="dxa"/>
            <w:right w:w="0" w:type="dxa"/>
          </w:tblCellMar>
        </w:tblPrEx>
        <w:trPr>
          <w:jc w:val="center"/>
        </w:trPr>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"http://221.224.76.18:8092/view/resource/ggdk_view.aspx?GGDK_GUID=AF3C5BFFD4444E8FE055000000000001" \t "http://221.224.76.18:8092/view/resource/_blank"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2020G054</w:t>
            </w:r>
            <w:r>
              <w:rPr>
                <w:rFonts w:ascii="宋体" w:hAnsi="宋体" w:eastAsia="宋体" w:cs="宋体"/>
                <w:kern w:val="0"/>
                <w:sz w:val="24"/>
                <w:szCs w:val="24"/>
                <w:lang w:val="en-US" w:eastAsia="zh-CN" w:bidi="ar"/>
              </w:rPr>
              <w:fldChar w:fldCharType="end"/>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梅李镇钢城路以东、规划支二路以南</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15210</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工业</w:t>
            </w:r>
            <w:r>
              <w:rPr>
                <w:rFonts w:ascii="宋体" w:hAnsi="宋体" w:eastAsia="宋体" w:cs="宋体"/>
                <w:kern w:val="0"/>
                <w:sz w:val="24"/>
                <w:szCs w:val="24"/>
                <w:lang w:val="en-US" w:eastAsia="zh-CN" w:bidi="ar"/>
              </w:rPr>
              <w:br w:type="textWrapping"/>
            </w:r>
            <w:r>
              <w:rPr>
                <w:rFonts w:ascii="宋体" w:hAnsi="宋体" w:eastAsia="宋体" w:cs="宋体"/>
                <w:color w:val="FF0000"/>
                <w:kern w:val="0"/>
                <w:sz w:val="24"/>
                <w:szCs w:val="24"/>
                <w:lang w:val="en-US" w:eastAsia="zh-CN" w:bidi="ar"/>
              </w:rPr>
              <w:t>工业用地</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1.60≤容积率</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建筑密度≤60%</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绿化率≤20%</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105</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508.0140</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5（万元）</w:t>
            </w:r>
          </w:p>
        </w:tc>
        <w:tc>
          <w:tcPr>
            <w:tcW w:w="0" w:type="auto"/>
            <w:tcBorders>
              <w:top w:val="outset" w:color="111111" w:sz="6" w:space="0"/>
              <w:left w:val="outset" w:color="111111" w:sz="6" w:space="0"/>
              <w:bottom w:val="outset" w:color="111111" w:sz="6" w:space="0"/>
              <w:right w:val="outset" w:color="111111" w:sz="6" w:space="0"/>
            </w:tcBorders>
            <w:shd w:val="clear"/>
            <w:vAlign w:val="center"/>
          </w:tcPr>
          <w:p>
            <w:pPr>
              <w:keepNext w:val="0"/>
              <w:keepLines w:val="0"/>
              <w:widowControl/>
              <w:suppressLineNumbers w:val="0"/>
              <w:jc w:val="center"/>
            </w:pPr>
            <w:r>
              <w:rPr>
                <w:rFonts w:ascii="宋体" w:hAnsi="宋体" w:eastAsia="宋体" w:cs="宋体"/>
                <w:color w:val="auto"/>
                <w:sz w:val="24"/>
                <w:szCs w:val="24"/>
                <w:u w:val="none"/>
              </w:rPr>
              <w:drawing>
                <wp:inline distT="0" distB="0" distL="114300" distR="114300">
                  <wp:extent cx="304800" cy="3048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1、编号：2020G054</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建设内容：仪器仪表制造业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投资强度：400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办公与服务设施用地比例：7%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该受让宗地中用于工业建设项目的企业内部行政办公及生活服务设施的用地不超过受让宗地面积的7%，受让人不得在受让宗地范围内建造成套住宅、专家楼、宾馆、招待所和培训中心等非生产性设施。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其他城市规划要求按江苏省和常熟市城市规划管理技术规定执行。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二、竞买资格：具备常熟市产业项目用地评价领导小组审核通过书面意见的中华人民共和国境内外公司、企业、其他组织，均可参加竞买。 根据江苏省信用办等《关于在公共资源交易领域的招标投标活动中建立对失信被执行人联合惩戒机制的实施意见》（苏信用办[2018]23号）及常熟市信用办等《居住房屋出租领域失信联合惩戒暂行办法》（常信用办[2018]1号）要求：限制失信被执行人及被认定为具有严重失信行为人员参加国有建设用地使用权挂牌竞价出让活动。 凡在我市范围内经招标拍卖挂牌方式获得过国有建设用地使用权，且未经市政府批准，无故拖欠土地出让金的竞得人，禁止参加本次挂牌出让活动。市自然资源和规划局对竞买申请人进行竞买资格预审，资格预审通过的竞买申请人方可通过网上交易系统报名和缴纳竞买保证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三、本次国有土地使用权挂牌出让按照价高者得原则确定竞得人。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四、本次挂牌出让的详细资料和具体要求，见挂牌出让文件。申请人可于2020年09月16日至2020年10月05日，到http://221.224.76.18:8083/（地点）获取挂牌出让文件。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五、申请人可于2020年10月06日至2020年10月15日，到http://221.224.76.18:8083/（地点）向我局提出书面申请。交纳竞买保证金的截止时间为2020年10月15日16时。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经审查，申请人按规定交纳竞买保证金，具备申请条件的，我局将在2020年10月15日17时前确认其竞买资格。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六、本次国有土地使用权挂牌地点为http://221.224.76.18:8083/；各地块挂牌时间分别：</w:t>
      </w:r>
      <w:r>
        <w:rPr>
          <w:rFonts w:ascii="宋体" w:hAnsi="宋体" w:eastAsia="宋体" w:cs="宋体"/>
          <w:vanish/>
          <w:kern w:val="0"/>
          <w:sz w:val="24"/>
          <w:szCs w:val="24"/>
          <w:lang w:val="en-US" w:eastAsia="zh-CN" w:bidi="ar"/>
        </w:rPr>
        <w:object>
          <v:shape id="_x0000_i1026" o:spt="201" type="#_x0000_t201" style="height:18pt;width:72pt;" o:ole="t" filled="f" o:preferrelative="t" stroked="f" coordsize="21600,21600">
            <v:path/>
            <v:fill on="f" focussize="0,0"/>
            <v:stroke on="f"/>
            <v:imagedata r:id="rId7" o:title=""/>
            <o:lock v:ext="edit" aspectratio="t"/>
            <w10:wrap type="none"/>
            <w10:anchorlock/>
          </v:shape>
          <w:control r:id="rId6" w:name="Control 2" w:shapeid="_x0000_i1026"/>
        </w:object>
      </w:r>
      <w:r>
        <w:rPr>
          <w:rFonts w:ascii="宋体" w:hAnsi="宋体" w:eastAsia="宋体" w:cs="宋体"/>
          <w:vanish/>
          <w:kern w:val="0"/>
          <w:sz w:val="24"/>
          <w:szCs w:val="24"/>
          <w:lang w:val="en-US" w:eastAsia="zh-CN" w:bidi="ar"/>
        </w:rPr>
        <w:object>
          <v:shape id="_x0000_i1027" o:spt="201" type="#_x0000_t201" style="height:18pt;width:72pt;" o:ole="t" filled="f" o:preferrelative="t" stroked="f" coordsize="21600,21600">
            <v:path/>
            <v:fill on="f" focussize="0,0"/>
            <v:stroke on="f"/>
            <v:imagedata r:id="rId7" o:title=""/>
            <o:lock v:ext="edit" aspectratio="t"/>
            <w10:wrap type="none"/>
            <w10:anchorlock/>
          </v:shape>
          <w:control r:id="rId8" w:name="Control 3" w:shapeid="_x0000_i1027"/>
        </w:object>
      </w:r>
    </w:p>
    <w:tbl>
      <w:tblPr>
        <w:tblW w:w="4500" w:type="pct"/>
        <w:jc w:val="center"/>
        <w:tblCellSpacing w:w="0" w:type="dxa"/>
        <w:shd w:val="clear"/>
        <w:tblLayout w:type="autofit"/>
        <w:tblCellMar>
          <w:top w:w="0" w:type="dxa"/>
          <w:left w:w="0" w:type="dxa"/>
          <w:bottom w:w="0" w:type="dxa"/>
          <w:right w:w="0" w:type="dxa"/>
        </w:tblCellMar>
      </w:tblPr>
      <w:tblGrid>
        <w:gridCol w:w="7475"/>
      </w:tblGrid>
      <w:tr>
        <w:tblPrEx>
          <w:shd w:val="clear"/>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spacing w:before="0" w:beforeAutospacing="1" w:after="0" w:afterAutospacing="1"/>
              <w:ind w:left="0" w:right="0"/>
            </w:pPr>
            <w:r>
              <w:t>1、地块编号：2020G054；</w:t>
            </w:r>
            <w:r>
              <w:br w:type="textWrapping"/>
            </w:r>
            <w:r>
              <w:t>报名时间：2020年10月06日 09时00分 至2020年10月15日 16时00分；</w:t>
            </w:r>
            <w:r>
              <w:br w:type="textWrapping"/>
            </w:r>
            <w:r>
              <w:t>保证金缴纳时间：2020年10月06日 09时00分 至2020年10月15日 16时00分；</w:t>
            </w:r>
            <w:r>
              <w:br w:type="textWrapping"/>
            </w:r>
            <w:r>
              <w:t>挂牌时间：2020年10月06日9时 至2020年10月16日10时；</w:t>
            </w:r>
          </w:p>
        </w:tc>
      </w:tr>
    </w:tbl>
    <w:p>
      <w:pPr>
        <w:keepNext w:val="0"/>
        <w:keepLines w:val="0"/>
        <w:widowControl/>
        <w:suppressLineNumbers w:val="0"/>
        <w:jc w:val="left"/>
      </w:pPr>
      <w:r>
        <w:rPr>
          <w:rFonts w:ascii="宋体" w:hAnsi="宋体" w:eastAsia="宋体" w:cs="宋体"/>
          <w:kern w:val="0"/>
          <w:sz w:val="24"/>
          <w:szCs w:val="24"/>
          <w:lang w:val="en-US" w:eastAsia="zh-CN" w:bidi="ar"/>
        </w:rPr>
        <w:t>        七、其他需要公告的事项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（一）挂牌时间截止时，有竞买人表示愿意继续竞价，转入现场竞价，通过现场竞价确定竞得人。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次国有建设用地使用权网上挂牌出让采取互联网出让的方式进行，意向竞买人需持CA证书通过常熟市国有建设用地使用权网上交易系统，参与网上挂牌出让竞买。CA证书办理地点：苏州高新区邓尉路9号润捷广场1幢9楼905室（联系电话：0512-68701110、68703189）。办理成功后，意向竞买人可登陆常熟市国有建设用地使用权网上交易系统参与报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八、联系方式与银行账户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联系地址：常熟市新世纪大道1079号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联系电话：051252776473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联 系 人：张晓东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开户单位：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开 户 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账       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p>
      <w:pPr>
        <w:keepNext w:val="0"/>
        <w:keepLines w:val="0"/>
        <w:widowControl/>
        <w:suppressLineNumbers w:val="0"/>
        <w:jc w:val="right"/>
      </w:pPr>
      <w:r>
        <w:rPr>
          <w:rFonts w:ascii="宋体" w:hAnsi="宋体" w:eastAsia="宋体" w:cs="宋体"/>
          <w:kern w:val="0"/>
          <w:sz w:val="24"/>
          <w:szCs w:val="24"/>
          <w:lang w:val="en-US" w:eastAsia="zh-CN" w:bidi="ar"/>
        </w:rPr>
        <w:t>常熟市自然资源和规划局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2020年09月15日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B22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ontrol" Target="activeX/activeX2.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NULL"/><Relationship Id="rId4" Type="http://schemas.openxmlformats.org/officeDocument/2006/relationships/hyperlink" Target="http://221.224.76.18:8092/view/resource/mapview.aspx?id=AF3C5BFFD4444E8FE055000000000001"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2020-09-18T06:10:02Z</dcterms:created>
  <dc:creator>soufun</dc:creator>
  <cp:lastModifiedBy>ENDLICHERI.K</cp:lastModifiedBy>
  <dcterms:modified xsi:type="dcterms:W3CDTF">2020-09-18T06:10:11Z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